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sz w:val="24"/>
          <w:szCs w:val="24"/>
          <w:u w:val="single"/>
        </w:rPr>
      </w:pPr>
      <w:bookmarkStart w:id="0" w:name="OLE_LINK2"/>
      <w:bookmarkStart w:id="1" w:name="OLE_LINK1"/>
      <w:r>
        <w:rPr>
          <w:b/>
          <w:bCs/>
          <w:sz w:val="24"/>
          <w:szCs w:val="24"/>
          <w:u w:val="single"/>
          <w:rtl/>
        </w:rPr>
        <w:t>תבנית של כתב טענות – הבהרות</w:t>
      </w:r>
    </w:p>
    <w:p>
      <w:pPr>
        <w:rPr>
          <w:sz w:val="24"/>
          <w:szCs w:val="24"/>
          <w:rtl/>
        </w:rPr>
      </w:pPr>
    </w:p>
    <w:p>
      <w:pPr>
        <w:rPr>
          <w:sz w:val="24"/>
          <w:szCs w:val="24"/>
          <w:rtl/>
        </w:rPr>
      </w:pPr>
    </w:p>
    <w:p>
      <w:pPr>
        <w:spacing w:line="360" w:lineRule="auto"/>
        <w:rPr>
          <w:sz w:val="24"/>
          <w:szCs w:val="24"/>
          <w:rtl/>
        </w:rPr>
      </w:pPr>
      <w:r>
        <w:rPr>
          <w:sz w:val="24"/>
          <w:szCs w:val="24"/>
          <w:rtl/>
        </w:rPr>
        <w:t>מטבע הדברים, מדובר בתבנית כללית המהווה דוגמא בלבד של כתב טענות ואין היא נותנת מענה ספציפי ומדויק לנסיבות, לצרכים השונים, וכן לדין החל.</w:t>
      </w:r>
    </w:p>
    <w:p>
      <w:pPr>
        <w:spacing w:line="360" w:lineRule="auto"/>
        <w:rPr>
          <w:sz w:val="24"/>
          <w:szCs w:val="24"/>
        </w:rPr>
      </w:pPr>
      <w:r>
        <w:rPr>
          <w:sz w:val="24"/>
          <w:szCs w:val="24"/>
          <w:rtl/>
        </w:rPr>
        <w:t>חלק מהתבניות הינן ישנות, בגדר טיוטות עבודה בלבד שטרם עברו תיקוני הגהה, והן אינן כוללות פסיקה עדכנית.</w:t>
      </w:r>
    </w:p>
    <w:p>
      <w:pPr>
        <w:spacing w:line="360" w:lineRule="auto"/>
        <w:rPr>
          <w:sz w:val="24"/>
          <w:szCs w:val="24"/>
        </w:rPr>
      </w:pPr>
      <w:r>
        <w:rPr>
          <w:sz w:val="24"/>
          <w:szCs w:val="24"/>
          <w:rtl/>
        </w:rPr>
        <w:t>ככל שיש בכתב הטענות פירוט סכומים וחישובים, החישובים והסכומים אינם משקפים בהכרח את הדין החל ולעיתים הם נעשו בדרך של אומדנה, כלפי מעלה או מטה, על בסיס שיקולים שונים.</w:t>
      </w:r>
    </w:p>
    <w:p>
      <w:pPr>
        <w:spacing w:line="360" w:lineRule="auto"/>
        <w:rPr>
          <w:sz w:val="24"/>
          <w:szCs w:val="24"/>
        </w:rPr>
      </w:pPr>
      <w:r>
        <w:rPr>
          <w:sz w:val="24"/>
          <w:szCs w:val="24"/>
          <w:rtl/>
        </w:rPr>
        <w:t>כדי להתאים את התבנית לדין הדין בצורה טובה, מלאה ועדכנית וכן לערוך חישובים מדויקים ועדכניים, יש לעיין בתכנים הקיימים באתר בהתאם לנושא המועלה בכתב הטענות ולעשות את ההתאמות הנדרשות, כולל תיקוני הגהה לטיוטות העבודה.</w:t>
      </w:r>
    </w:p>
    <w:p>
      <w:pPr>
        <w:spacing w:line="360" w:lineRule="auto"/>
        <w:rPr>
          <w:sz w:val="24"/>
          <w:szCs w:val="24"/>
          <w:rtl/>
        </w:rPr>
      </w:pPr>
      <w:r>
        <w:rPr>
          <w:sz w:val="24"/>
          <w:szCs w:val="24"/>
          <w:rtl/>
        </w:rPr>
        <w:t xml:space="preserve">קיצורי דרך למספרי הסעיפים הינם כדלקמן:  </w:t>
      </w:r>
      <w:r>
        <w:rPr>
          <w:sz w:val="24"/>
          <w:szCs w:val="24"/>
        </w:rPr>
        <w:t>Ctrl+Alt+1</w:t>
      </w:r>
      <w:r>
        <w:rPr>
          <w:sz w:val="24"/>
          <w:szCs w:val="24"/>
          <w:rtl/>
        </w:rPr>
        <w:t xml:space="preserve"> - רמה ראשונה; </w:t>
      </w:r>
      <w:r>
        <w:rPr>
          <w:sz w:val="24"/>
          <w:szCs w:val="24"/>
        </w:rPr>
        <w:t>Ctrl+Alt+2</w:t>
      </w:r>
      <w:r>
        <w:rPr>
          <w:sz w:val="24"/>
          <w:szCs w:val="24"/>
          <w:rtl/>
        </w:rPr>
        <w:t xml:space="preserve"> - רמה שנייה; </w:t>
      </w:r>
      <w:r>
        <w:rPr>
          <w:sz w:val="24"/>
          <w:szCs w:val="24"/>
        </w:rPr>
        <w:t>Ctrl+Alat+3</w:t>
      </w:r>
      <w:r>
        <w:rPr>
          <w:sz w:val="24"/>
          <w:szCs w:val="24"/>
          <w:rtl/>
        </w:rPr>
        <w:t xml:space="preserve"> - רמה שלישית.</w:t>
      </w: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p>
      <w:pPr>
        <w:spacing w:line="360" w:lineRule="auto"/>
        <w:rPr>
          <w:sz w:val="24"/>
          <w:szCs w:val="24"/>
          <w:rtl/>
        </w:rPr>
      </w:pPr>
    </w:p>
    <w:bookmarkEnd w:id="0"/>
    <w:bookmarkEnd w:id="1"/>
    <w:p>
      <w:pPr>
        <w:rPr>
          <w:rtl/>
        </w:rPr>
      </w:pPr>
    </w:p>
    <w:tbl>
      <w:tblPr>
        <w:bidiVisual/>
        <w:tblW w:w="8612" w:type="dxa"/>
        <w:tblLayout w:type="fixed"/>
        <w:tblLook w:val="0000" w:firstRow="0" w:lastRow="0" w:firstColumn="0" w:lastColumn="0" w:noHBand="0" w:noVBand="0"/>
      </w:tblPr>
      <w:tblGrid>
        <w:gridCol w:w="3141"/>
        <w:gridCol w:w="2673"/>
        <w:gridCol w:w="2798"/>
      </w:tblGrid>
      <w:tr>
        <w:tblPrEx>
          <w:tblCellMar>
            <w:top w:w="0" w:type="dxa"/>
            <w:bottom w:w="0" w:type="dxa"/>
          </w:tblCellMar>
        </w:tblPrEx>
        <w:tc>
          <w:tcPr>
            <w:tcW w:w="3141" w:type="dxa"/>
          </w:tcPr>
          <w:p>
            <w:pPr>
              <w:pStyle w:val="1"/>
              <w:numPr>
                <w:ilvl w:val="0"/>
                <w:numId w:val="0"/>
              </w:numPr>
              <w:spacing w:line="240" w:lineRule="auto"/>
              <w:ind w:left="737" w:right="-142" w:hanging="737"/>
              <w:rPr>
                <w:rFonts w:cs="David" w:hint="cs"/>
                <w:b/>
                <w:bCs/>
                <w:rtl/>
              </w:rPr>
            </w:pPr>
            <w:r>
              <w:rPr>
                <w:rFonts w:cs="David"/>
                <w:sz w:val="20"/>
                <w:szCs w:val="26"/>
                <w:lang w:val="en-US" w:eastAsia="en-US"/>
              </w:rPr>
              <w:lastRenderedPageBreak/>
              <w:br w:type="page"/>
            </w:r>
            <w:r>
              <w:rPr>
                <w:rFonts w:cs="David"/>
                <w:b/>
                <w:bCs/>
                <w:rtl/>
              </w:rPr>
              <w:t>בית הדין האזורי לעבודה</w:t>
            </w:r>
          </w:p>
        </w:tc>
        <w:tc>
          <w:tcPr>
            <w:tcW w:w="2673" w:type="dxa"/>
          </w:tcPr>
          <w:p>
            <w:pPr>
              <w:pStyle w:val="1"/>
              <w:numPr>
                <w:ilvl w:val="0"/>
                <w:numId w:val="0"/>
              </w:numPr>
              <w:spacing w:line="240" w:lineRule="auto"/>
              <w:ind w:right="-142"/>
              <w:rPr>
                <w:rFonts w:cs="David"/>
                <w:b/>
                <w:bCs/>
                <w:rtl/>
              </w:rPr>
            </w:pPr>
          </w:p>
        </w:tc>
        <w:tc>
          <w:tcPr>
            <w:tcW w:w="2798" w:type="dxa"/>
          </w:tcPr>
          <w:p>
            <w:pPr>
              <w:pStyle w:val="1"/>
              <w:numPr>
                <w:ilvl w:val="0"/>
                <w:numId w:val="0"/>
              </w:numPr>
              <w:spacing w:line="240" w:lineRule="auto"/>
              <w:ind w:right="-142"/>
              <w:rPr>
                <w:rFonts w:cs="David"/>
                <w:b/>
                <w:bCs/>
                <w:rtl/>
              </w:rPr>
            </w:pPr>
          </w:p>
        </w:tc>
      </w:tr>
      <w:tr>
        <w:tblPrEx>
          <w:tblCellMar>
            <w:top w:w="0" w:type="dxa"/>
            <w:bottom w:w="0" w:type="dxa"/>
          </w:tblCellMar>
        </w:tblPrEx>
        <w:tc>
          <w:tcPr>
            <w:tcW w:w="3141" w:type="dxa"/>
          </w:tcPr>
          <w:p>
            <w:pPr>
              <w:pStyle w:val="1"/>
              <w:numPr>
                <w:ilvl w:val="0"/>
                <w:numId w:val="0"/>
              </w:numPr>
              <w:spacing w:line="240" w:lineRule="auto"/>
              <w:ind w:left="737" w:right="-142" w:hanging="737"/>
              <w:rPr>
                <w:rFonts w:cs="David"/>
                <w:b/>
                <w:bCs/>
                <w:u w:val="single"/>
                <w:rtl/>
              </w:rPr>
            </w:pPr>
            <w:r>
              <w:rPr>
                <w:rFonts w:cs="David"/>
                <w:b/>
                <w:bCs/>
                <w:u w:val="single"/>
                <w:rtl/>
              </w:rPr>
              <w:t>ב</w:t>
            </w:r>
            <w:r>
              <w:rPr>
                <w:rFonts w:cs="David" w:hint="cs"/>
                <w:b/>
                <w:bCs/>
                <w:u w:val="single"/>
                <w:rtl/>
              </w:rPr>
              <w:t>באר שבע</w:t>
            </w:r>
          </w:p>
          <w:p>
            <w:pPr>
              <w:pStyle w:val="1"/>
              <w:numPr>
                <w:ilvl w:val="0"/>
                <w:numId w:val="0"/>
              </w:numPr>
              <w:spacing w:line="240" w:lineRule="auto"/>
              <w:ind w:left="737" w:right="-142" w:hanging="737"/>
              <w:rPr>
                <w:rFonts w:cs="David"/>
                <w:b/>
                <w:bCs/>
                <w:rtl/>
              </w:rPr>
            </w:pPr>
          </w:p>
        </w:tc>
        <w:tc>
          <w:tcPr>
            <w:tcW w:w="2673" w:type="dxa"/>
          </w:tcPr>
          <w:p>
            <w:pPr>
              <w:pStyle w:val="1"/>
              <w:numPr>
                <w:ilvl w:val="0"/>
                <w:numId w:val="0"/>
              </w:numPr>
              <w:spacing w:line="240" w:lineRule="auto"/>
              <w:ind w:right="-142"/>
              <w:rPr>
                <w:rFonts w:cs="David"/>
                <w:b/>
                <w:bCs/>
                <w:rtl/>
              </w:rPr>
            </w:pPr>
          </w:p>
        </w:tc>
        <w:tc>
          <w:tcPr>
            <w:tcW w:w="2798" w:type="dxa"/>
          </w:tcPr>
          <w:p>
            <w:pPr>
              <w:pStyle w:val="1"/>
              <w:numPr>
                <w:ilvl w:val="0"/>
                <w:numId w:val="0"/>
              </w:numPr>
              <w:spacing w:line="240" w:lineRule="auto"/>
              <w:ind w:right="-142"/>
              <w:rPr>
                <w:rFonts w:cs="David" w:hint="cs"/>
                <w:b/>
                <w:bCs/>
                <w:rtl/>
              </w:rPr>
            </w:pPr>
          </w:p>
        </w:tc>
      </w:tr>
    </w:tbl>
    <w:p>
      <w:pPr>
        <w:pStyle w:val="1"/>
        <w:numPr>
          <w:ilvl w:val="0"/>
          <w:numId w:val="0"/>
        </w:numPr>
        <w:spacing w:line="240" w:lineRule="auto"/>
        <w:ind w:right="-142"/>
        <w:rPr>
          <w:rFonts w:cs="David" w:hint="cs"/>
          <w:b/>
          <w:bCs/>
          <w:rtl/>
        </w:rPr>
      </w:pPr>
      <w:r>
        <w:rPr>
          <w:rFonts w:cs="David"/>
          <w:b/>
          <w:bCs/>
          <w:u w:val="single"/>
          <w:rtl/>
        </w:rPr>
        <w:t>התובע</w:t>
      </w:r>
      <w:r>
        <w:rPr>
          <w:rFonts w:cs="David" w:hint="cs"/>
          <w:b/>
          <w:bCs/>
          <w:u w:val="single"/>
          <w:rtl/>
        </w:rPr>
        <w:t>ת</w:t>
      </w:r>
      <w:r>
        <w:rPr>
          <w:rFonts w:cs="David"/>
          <w:b/>
          <w:bCs/>
          <w:u w:val="single"/>
          <w:rtl/>
        </w:rPr>
        <w:t>:</w:t>
      </w:r>
      <w:r>
        <w:rPr>
          <w:rFonts w:cs="David"/>
          <w:b/>
          <w:bCs/>
          <w:rtl/>
        </w:rPr>
        <w:tab/>
      </w:r>
      <w:r>
        <w:rPr>
          <w:rFonts w:cs="David"/>
          <w:b/>
          <w:bCs/>
          <w:rtl/>
        </w:rPr>
        <w:tab/>
      </w:r>
      <w:r>
        <w:rPr>
          <w:rFonts w:cs="David" w:hint="cs"/>
          <w:b/>
          <w:bCs/>
          <w:rtl/>
        </w:rPr>
        <w:t>_________________________________________</w:t>
      </w:r>
    </w:p>
    <w:p>
      <w:pPr>
        <w:pStyle w:val="1"/>
        <w:numPr>
          <w:ilvl w:val="0"/>
          <w:numId w:val="0"/>
        </w:numPr>
        <w:spacing w:line="240" w:lineRule="auto"/>
        <w:ind w:right="-142"/>
        <w:rPr>
          <w:rFonts w:cs="David" w:hint="cs"/>
          <w:rtl/>
        </w:rPr>
      </w:pPr>
    </w:p>
    <w:p>
      <w:pPr>
        <w:pStyle w:val="1"/>
        <w:numPr>
          <w:ilvl w:val="0"/>
          <w:numId w:val="0"/>
        </w:numPr>
        <w:spacing w:line="240" w:lineRule="auto"/>
        <w:ind w:right="-142"/>
        <w:rPr>
          <w:rFonts w:cs="David" w:hint="cs"/>
          <w:rtl/>
        </w:rPr>
      </w:pPr>
      <w:r>
        <w:rPr>
          <w:rFonts w:cs="David" w:hint="cs"/>
          <w:rtl/>
        </w:rPr>
        <w:t xml:space="preserve">                                                         </w:t>
      </w:r>
      <w:r>
        <w:rPr>
          <w:rFonts w:cs="David"/>
          <w:rtl/>
        </w:rPr>
        <w:t>- נג</w:t>
      </w:r>
      <w:r>
        <w:rPr>
          <w:rFonts w:cs="David" w:hint="cs"/>
          <w:rtl/>
        </w:rPr>
        <w:t>ד -</w:t>
      </w:r>
    </w:p>
    <w:p>
      <w:pPr>
        <w:pStyle w:val="1"/>
        <w:numPr>
          <w:ilvl w:val="0"/>
          <w:numId w:val="0"/>
        </w:numPr>
        <w:spacing w:before="120" w:line="240" w:lineRule="auto"/>
        <w:ind w:right="-142"/>
        <w:rPr>
          <w:rFonts w:cs="David"/>
          <w:b/>
          <w:bCs/>
          <w:u w:val="single"/>
          <w:rtl/>
        </w:rPr>
      </w:pPr>
    </w:p>
    <w:p>
      <w:pPr>
        <w:pStyle w:val="1"/>
        <w:numPr>
          <w:ilvl w:val="0"/>
          <w:numId w:val="0"/>
        </w:numPr>
        <w:spacing w:before="120" w:line="240" w:lineRule="auto"/>
        <w:ind w:right="-142"/>
        <w:rPr>
          <w:rFonts w:cs="David"/>
        </w:rPr>
      </w:pPr>
      <w:r>
        <w:rPr>
          <w:rFonts w:cs="David" w:hint="cs"/>
          <w:b/>
          <w:bCs/>
          <w:u w:val="single"/>
          <w:rtl/>
        </w:rPr>
        <w:t>הנתבעת:</w:t>
      </w:r>
      <w:r>
        <w:rPr>
          <w:rFonts w:cs="David"/>
          <w:b/>
          <w:bCs/>
        </w:rPr>
        <w:t xml:space="preserve"> </w:t>
      </w:r>
      <w:r>
        <w:rPr>
          <w:rFonts w:cs="David"/>
          <w:b/>
          <w:bCs/>
          <w:rtl/>
        </w:rPr>
        <w:tab/>
      </w:r>
      <w:r>
        <w:rPr>
          <w:rFonts w:cs="David"/>
          <w:b/>
          <w:bCs/>
          <w:rtl/>
        </w:rPr>
        <w:tab/>
      </w:r>
      <w:r>
        <w:rPr>
          <w:rFonts w:cs="David" w:hint="cs"/>
          <w:rtl/>
        </w:rPr>
        <w:t>_________________________________________</w:t>
      </w:r>
    </w:p>
    <w:p>
      <w:pPr>
        <w:pStyle w:val="1"/>
        <w:numPr>
          <w:ilvl w:val="0"/>
          <w:numId w:val="0"/>
        </w:numPr>
        <w:spacing w:before="120" w:line="240" w:lineRule="auto"/>
        <w:ind w:right="-142"/>
        <w:rPr>
          <w:rFonts w:cs="David" w:hint="cs"/>
          <w:rtl/>
        </w:rPr>
      </w:pPr>
    </w:p>
    <w:p>
      <w:pPr>
        <w:pStyle w:val="1"/>
        <w:numPr>
          <w:ilvl w:val="0"/>
          <w:numId w:val="0"/>
        </w:numPr>
        <w:spacing w:before="120" w:line="240" w:lineRule="auto"/>
        <w:ind w:right="-142"/>
        <w:rPr>
          <w:rFonts w:cs="David"/>
        </w:rPr>
      </w:pPr>
      <w:r>
        <w:rPr>
          <w:rFonts w:cs="David" w:hint="cs"/>
          <w:rtl/>
        </w:rPr>
        <w:tab/>
      </w:r>
    </w:p>
    <w:p>
      <w:pPr>
        <w:pStyle w:val="1"/>
        <w:numPr>
          <w:ilvl w:val="0"/>
          <w:numId w:val="0"/>
        </w:numPr>
        <w:spacing w:line="240" w:lineRule="auto"/>
        <w:ind w:left="737" w:right="-142" w:hanging="737"/>
        <w:rPr>
          <w:rFonts w:cs="David"/>
          <w:b/>
          <w:bCs/>
          <w:u w:val="single"/>
          <w:rtl/>
        </w:rPr>
      </w:pPr>
    </w:p>
    <w:p>
      <w:pPr>
        <w:pStyle w:val="1"/>
        <w:numPr>
          <w:ilvl w:val="0"/>
          <w:numId w:val="0"/>
        </w:numPr>
        <w:spacing w:line="240" w:lineRule="auto"/>
        <w:ind w:left="737" w:right="-142" w:hanging="737"/>
        <w:rPr>
          <w:rFonts w:cs="David" w:hint="cs"/>
          <w:rtl/>
        </w:rPr>
      </w:pPr>
      <w:r>
        <w:rPr>
          <w:rFonts w:cs="David" w:hint="cs"/>
          <w:b/>
          <w:bCs/>
          <w:u w:val="single"/>
          <w:rtl/>
        </w:rPr>
        <w:t>מהות התביעה</w:t>
      </w:r>
      <w:r>
        <w:rPr>
          <w:rFonts w:cs="David" w:hint="cs"/>
          <w:rtl/>
        </w:rPr>
        <w:t>: כספית.</w:t>
      </w:r>
    </w:p>
    <w:p>
      <w:pPr>
        <w:pStyle w:val="1"/>
        <w:numPr>
          <w:ilvl w:val="0"/>
          <w:numId w:val="0"/>
        </w:numPr>
        <w:spacing w:line="240" w:lineRule="auto"/>
        <w:ind w:left="737" w:right="-142" w:hanging="737"/>
        <w:rPr>
          <w:rFonts w:cs="David" w:hint="cs"/>
          <w:rtl/>
        </w:rPr>
      </w:pPr>
      <w:r>
        <w:rPr>
          <w:rFonts w:cs="David" w:hint="cs"/>
          <w:b/>
          <w:bCs/>
          <w:u w:val="single"/>
          <w:rtl/>
        </w:rPr>
        <w:t>סכום התביעה:</w:t>
      </w:r>
      <w:r>
        <w:rPr>
          <w:rFonts w:cs="David" w:hint="cs"/>
          <w:rtl/>
        </w:rPr>
        <w:t xml:space="preserve">  98,482 ₪.</w:t>
      </w:r>
    </w:p>
    <w:p>
      <w:pPr>
        <w:pStyle w:val="1"/>
        <w:numPr>
          <w:ilvl w:val="0"/>
          <w:numId w:val="0"/>
        </w:numPr>
        <w:spacing w:line="240" w:lineRule="auto"/>
        <w:ind w:left="737" w:right="-142"/>
        <w:jc w:val="center"/>
        <w:rPr>
          <w:rFonts w:cs="David"/>
          <w:b/>
          <w:bCs/>
          <w:sz w:val="36"/>
          <w:szCs w:val="36"/>
          <w:u w:val="single"/>
          <w:rtl/>
        </w:rPr>
      </w:pPr>
      <w:r>
        <w:rPr>
          <w:rFonts w:cs="David"/>
          <w:b/>
          <w:bCs/>
          <w:sz w:val="36"/>
          <w:szCs w:val="36"/>
          <w:u w:val="single"/>
          <w:rtl/>
        </w:rPr>
        <w:t>כתב תביעה</w:t>
      </w:r>
    </w:p>
    <w:p>
      <w:pPr>
        <w:spacing w:before="240" w:line="300" w:lineRule="atLeast"/>
        <w:outlineLvl w:val="0"/>
        <w:rPr>
          <w:rFonts w:hint="cs"/>
          <w:b/>
          <w:bCs/>
          <w:sz w:val="24"/>
          <w:szCs w:val="24"/>
          <w:u w:val="single"/>
          <w:rtl/>
        </w:rPr>
      </w:pPr>
      <w:r>
        <w:rPr>
          <w:rFonts w:hint="cs"/>
          <w:b/>
          <w:bCs/>
          <w:sz w:val="24"/>
          <w:szCs w:val="24"/>
          <w:u w:val="single"/>
          <w:rtl/>
        </w:rPr>
        <w:t>א.  רקע עובדתי:</w:t>
      </w:r>
    </w:p>
    <w:p>
      <w:pPr>
        <w:keepLines w:val="0"/>
        <w:numPr>
          <w:ilvl w:val="0"/>
          <w:numId w:val="2"/>
        </w:numPr>
        <w:spacing w:before="240" w:after="120" w:line="360" w:lineRule="auto"/>
        <w:outlineLvl w:val="0"/>
        <w:rPr>
          <w:rFonts w:hint="cs"/>
          <w:sz w:val="24"/>
          <w:szCs w:val="24"/>
        </w:rPr>
      </w:pPr>
      <w:r>
        <w:rPr>
          <w:rFonts w:hint="cs"/>
          <w:sz w:val="24"/>
          <w:szCs w:val="24"/>
          <w:rtl/>
        </w:rPr>
        <w:t xml:space="preserve">בית חולים ברזילי נמצא בבעלות המדינה ומפעיל בית ספר סיעודי לאחיות (להלן: </w:t>
      </w:r>
      <w:r>
        <w:rPr>
          <w:rFonts w:hint="cs"/>
          <w:b/>
          <w:bCs/>
          <w:sz w:val="24"/>
          <w:szCs w:val="24"/>
          <w:rtl/>
        </w:rPr>
        <w:t>"בית הספר"</w:t>
      </w:r>
      <w:r>
        <w:rPr>
          <w:rFonts w:hint="cs"/>
          <w:sz w:val="24"/>
          <w:szCs w:val="24"/>
          <w:rtl/>
        </w:rPr>
        <w:t>)</w:t>
      </w:r>
    </w:p>
    <w:p>
      <w:pPr>
        <w:keepLines w:val="0"/>
        <w:numPr>
          <w:ilvl w:val="0"/>
          <w:numId w:val="2"/>
        </w:numPr>
        <w:spacing w:before="240" w:after="120" w:line="360" w:lineRule="auto"/>
        <w:outlineLvl w:val="0"/>
        <w:rPr>
          <w:rFonts w:hint="cs"/>
          <w:sz w:val="24"/>
          <w:szCs w:val="24"/>
        </w:rPr>
      </w:pPr>
      <w:r>
        <w:rPr>
          <w:rFonts w:hint="cs"/>
          <w:sz w:val="24"/>
          <w:szCs w:val="24"/>
          <w:rtl/>
        </w:rPr>
        <w:t>בבית הספר מלמדים אחיות מבית החולים ומרצים מן החוץ.</w:t>
      </w:r>
    </w:p>
    <w:p>
      <w:pPr>
        <w:keepLines w:val="0"/>
        <w:numPr>
          <w:ilvl w:val="0"/>
          <w:numId w:val="2"/>
        </w:numPr>
        <w:spacing w:before="240" w:after="120" w:line="360" w:lineRule="auto"/>
        <w:outlineLvl w:val="0"/>
        <w:rPr>
          <w:rFonts w:hint="cs"/>
          <w:sz w:val="24"/>
          <w:szCs w:val="24"/>
        </w:rPr>
      </w:pPr>
      <w:r>
        <w:rPr>
          <w:rFonts w:hint="cs"/>
          <w:sz w:val="24"/>
          <w:szCs w:val="24"/>
          <w:rtl/>
        </w:rPr>
        <w:t>התובעת החלה לעבוד כמרצה/מורה בבית ספר בחודש 5/2000.</w:t>
      </w:r>
    </w:p>
    <w:p>
      <w:pPr>
        <w:keepLines w:val="0"/>
        <w:numPr>
          <w:ilvl w:val="0"/>
          <w:numId w:val="2"/>
        </w:numPr>
        <w:spacing w:before="240" w:after="120" w:line="360" w:lineRule="auto"/>
        <w:outlineLvl w:val="0"/>
        <w:rPr>
          <w:rFonts w:hint="cs"/>
          <w:sz w:val="24"/>
          <w:szCs w:val="24"/>
        </w:rPr>
      </w:pPr>
      <w:r>
        <w:rPr>
          <w:rFonts w:hint="cs"/>
          <w:sz w:val="24"/>
          <w:szCs w:val="24"/>
          <w:rtl/>
        </w:rPr>
        <w:t>התובעת עבדה לפי שיבוץ לקורסים אותם לימדה.</w:t>
      </w:r>
    </w:p>
    <w:p>
      <w:pPr>
        <w:keepLines w:val="0"/>
        <w:numPr>
          <w:ilvl w:val="0"/>
          <w:numId w:val="2"/>
        </w:numPr>
        <w:spacing w:before="240" w:after="120" w:line="360" w:lineRule="auto"/>
        <w:outlineLvl w:val="0"/>
        <w:rPr>
          <w:rFonts w:hint="cs"/>
          <w:sz w:val="24"/>
          <w:szCs w:val="24"/>
        </w:rPr>
      </w:pPr>
      <w:r>
        <w:rPr>
          <w:rFonts w:hint="cs"/>
          <w:sz w:val="24"/>
          <w:szCs w:val="24"/>
          <w:rtl/>
        </w:rPr>
        <w:t>עיקר עסוקה של התובעת בתקופה הרלבנטית לתביעה הינו בלימוד ומתן הרצאות.</w:t>
      </w:r>
    </w:p>
    <w:p>
      <w:pPr>
        <w:pStyle w:val="1"/>
        <w:rPr>
          <w:rFonts w:cs="David" w:hint="cs"/>
        </w:rPr>
      </w:pPr>
      <w:r>
        <w:rPr>
          <w:rFonts w:cs="David" w:hint="cs"/>
          <w:rtl/>
        </w:rPr>
        <w:t>לעיתים בין קורס לקורס חלה הפסקה בהעסקת התובעת, מבלי שהתנתקו יחסי העבודה בין הצדדים.</w:t>
      </w:r>
    </w:p>
    <w:p>
      <w:pPr>
        <w:pStyle w:val="1"/>
        <w:rPr>
          <w:rFonts w:cs="David" w:hint="cs"/>
        </w:rPr>
      </w:pPr>
      <w:r>
        <w:rPr>
          <w:rFonts w:cs="David" w:hint="cs"/>
          <w:rtl/>
        </w:rPr>
        <w:t>שכרה של התובעת שולם באמצעות תלושי שכר עבור שעות הוראה ובדיקת בחינות.</w:t>
      </w:r>
    </w:p>
    <w:p>
      <w:pPr>
        <w:pStyle w:val="1"/>
        <w:numPr>
          <w:ilvl w:val="0"/>
          <w:numId w:val="0"/>
        </w:numPr>
        <w:ind w:left="879"/>
        <w:rPr>
          <w:rFonts w:cs="David" w:hint="cs"/>
        </w:rPr>
      </w:pPr>
      <w:r>
        <w:rPr>
          <w:rFonts w:cs="David" w:hint="cs"/>
          <w:rtl/>
        </w:rPr>
        <w:t>דוגמאות לתלושי שכרה של התובעת מצ"ב כ</w:t>
      </w:r>
      <w:r>
        <w:rPr>
          <w:rFonts w:cs="David" w:hint="cs"/>
          <w:b/>
          <w:bCs/>
          <w:u w:val="single"/>
          <w:rtl/>
        </w:rPr>
        <w:t>נספח א'</w:t>
      </w:r>
      <w:r>
        <w:rPr>
          <w:rFonts w:cs="David" w:hint="cs"/>
          <w:rtl/>
        </w:rPr>
        <w:t>.</w:t>
      </w:r>
    </w:p>
    <w:p>
      <w:pPr>
        <w:keepLines w:val="0"/>
        <w:numPr>
          <w:ilvl w:val="0"/>
          <w:numId w:val="2"/>
        </w:numPr>
        <w:spacing w:before="240" w:after="120" w:line="360" w:lineRule="auto"/>
        <w:outlineLvl w:val="0"/>
        <w:rPr>
          <w:rFonts w:hint="cs"/>
          <w:sz w:val="24"/>
          <w:szCs w:val="24"/>
        </w:rPr>
      </w:pPr>
      <w:r>
        <w:rPr>
          <w:rFonts w:hint="cs"/>
          <w:sz w:val="24"/>
          <w:szCs w:val="24"/>
          <w:rtl/>
        </w:rPr>
        <w:t>לעיתים שכרה של התובעת שולם באמצעות הנתבעת 2, אשר יש לראות אותה כמעסיקה במשותף יחד עם הנתבעת 1.</w:t>
      </w:r>
    </w:p>
    <w:p>
      <w:pPr>
        <w:keepLines w:val="0"/>
        <w:numPr>
          <w:ilvl w:val="0"/>
          <w:numId w:val="2"/>
        </w:numPr>
        <w:spacing w:before="240" w:after="120" w:line="360" w:lineRule="auto"/>
        <w:outlineLvl w:val="0"/>
        <w:rPr>
          <w:rFonts w:hint="cs"/>
          <w:sz w:val="24"/>
          <w:szCs w:val="24"/>
        </w:rPr>
      </w:pPr>
      <w:r>
        <w:rPr>
          <w:rFonts w:hint="cs"/>
          <w:sz w:val="24"/>
          <w:szCs w:val="24"/>
          <w:rtl/>
        </w:rPr>
        <w:lastRenderedPageBreak/>
        <w:t>באמצע חודש 1/12 נמסר לתובעת בתום שיעור שניתן על ידה, כי הוחלט להביא לסיום עבודתה, משום שאין עוד צורך בלימוד הקורסים אותם לימדה. לפיטורים לא קדם כל הליך של שימוע.</w:t>
      </w:r>
    </w:p>
    <w:p>
      <w:pPr>
        <w:keepLines w:val="0"/>
        <w:spacing w:before="240" w:after="120" w:line="360" w:lineRule="auto"/>
        <w:ind w:left="879"/>
        <w:outlineLvl w:val="0"/>
        <w:rPr>
          <w:rFonts w:hint="cs"/>
          <w:sz w:val="24"/>
          <w:szCs w:val="24"/>
        </w:rPr>
      </w:pPr>
      <w:r>
        <w:rPr>
          <w:rFonts w:hint="cs"/>
          <w:sz w:val="24"/>
          <w:szCs w:val="24"/>
          <w:rtl/>
        </w:rPr>
        <w:t>העתק ממכתב סיום ההעסקה מצ"ב כ</w:t>
      </w:r>
      <w:r>
        <w:rPr>
          <w:rFonts w:hint="cs"/>
          <w:b/>
          <w:bCs/>
          <w:sz w:val="24"/>
          <w:szCs w:val="24"/>
          <w:u w:val="single"/>
          <w:rtl/>
        </w:rPr>
        <w:t>נספח ב'</w:t>
      </w:r>
      <w:r>
        <w:rPr>
          <w:rFonts w:hint="cs"/>
          <w:sz w:val="24"/>
          <w:szCs w:val="24"/>
          <w:rtl/>
        </w:rPr>
        <w:t>.</w:t>
      </w:r>
    </w:p>
    <w:p>
      <w:pPr>
        <w:keepLines w:val="0"/>
        <w:numPr>
          <w:ilvl w:val="0"/>
          <w:numId w:val="2"/>
        </w:numPr>
        <w:spacing w:before="240" w:after="120" w:line="360" w:lineRule="auto"/>
        <w:outlineLvl w:val="0"/>
        <w:rPr>
          <w:rFonts w:hint="cs"/>
          <w:sz w:val="24"/>
          <w:szCs w:val="24"/>
        </w:rPr>
      </w:pPr>
      <w:r>
        <w:rPr>
          <w:rFonts w:hint="cs"/>
          <w:sz w:val="24"/>
          <w:szCs w:val="24"/>
          <w:rtl/>
        </w:rPr>
        <w:t>עם סיום עבודתה  לא שולמו לתובעת כל פיצויי פיטורים.</w:t>
      </w:r>
    </w:p>
    <w:p>
      <w:pPr>
        <w:keepLines w:val="0"/>
        <w:numPr>
          <w:ilvl w:val="0"/>
          <w:numId w:val="2"/>
        </w:numPr>
        <w:spacing w:before="240" w:after="120" w:line="360" w:lineRule="auto"/>
        <w:outlineLvl w:val="0"/>
        <w:rPr>
          <w:rFonts w:hint="cs"/>
          <w:sz w:val="24"/>
          <w:szCs w:val="24"/>
        </w:rPr>
      </w:pPr>
      <w:r>
        <w:rPr>
          <w:rFonts w:hint="cs"/>
          <w:sz w:val="24"/>
          <w:szCs w:val="24"/>
          <w:rtl/>
        </w:rPr>
        <w:t>בנוסף, למעט החזרי הוצאות דלק/נסיעה, לתובעת לא שולמו כל זכויות סוציאליות לאורך כל תקופת העסקתה.</w:t>
      </w:r>
    </w:p>
    <w:p>
      <w:pPr>
        <w:keepLines w:val="0"/>
        <w:numPr>
          <w:ilvl w:val="0"/>
          <w:numId w:val="2"/>
        </w:numPr>
        <w:spacing w:before="240" w:after="120" w:line="360" w:lineRule="auto"/>
        <w:outlineLvl w:val="0"/>
        <w:rPr>
          <w:rFonts w:hint="cs"/>
          <w:sz w:val="24"/>
          <w:szCs w:val="24"/>
        </w:rPr>
      </w:pPr>
      <w:r>
        <w:rPr>
          <w:rFonts w:hint="cs"/>
          <w:sz w:val="24"/>
          <w:szCs w:val="24"/>
          <w:rtl/>
        </w:rPr>
        <w:t xml:space="preserve">נוכח הפגיעות בזכויות התובעת לא נותרה לתובעת כל ברירה, אלא להטיל את יהבה על בית הדין הנכבד, על מנת לקבל את </w:t>
      </w:r>
      <w:proofErr w:type="spellStart"/>
      <w:r>
        <w:rPr>
          <w:rFonts w:hint="cs"/>
          <w:sz w:val="24"/>
          <w:szCs w:val="24"/>
          <w:rtl/>
        </w:rPr>
        <w:t>הסעדים</w:t>
      </w:r>
      <w:proofErr w:type="spellEnd"/>
      <w:r>
        <w:rPr>
          <w:rFonts w:hint="cs"/>
          <w:sz w:val="24"/>
          <w:szCs w:val="24"/>
          <w:rtl/>
        </w:rPr>
        <w:t xml:space="preserve"> המתחייבים בנסיבות העניין.</w:t>
      </w:r>
    </w:p>
    <w:p>
      <w:pPr>
        <w:keepLines w:val="0"/>
        <w:spacing w:before="240" w:after="120" w:line="360" w:lineRule="auto"/>
        <w:ind w:left="142"/>
        <w:outlineLvl w:val="0"/>
        <w:rPr>
          <w:rFonts w:hint="cs"/>
          <w:b/>
          <w:bCs/>
          <w:sz w:val="24"/>
          <w:szCs w:val="24"/>
          <w:u w:val="single"/>
          <w:rtl/>
        </w:rPr>
      </w:pPr>
    </w:p>
    <w:p>
      <w:pPr>
        <w:keepLines w:val="0"/>
        <w:spacing w:before="240" w:after="120" w:line="360" w:lineRule="auto"/>
        <w:ind w:left="142"/>
        <w:outlineLvl w:val="0"/>
        <w:rPr>
          <w:rFonts w:hint="cs"/>
          <w:b/>
          <w:bCs/>
          <w:sz w:val="30"/>
          <w:szCs w:val="30"/>
          <w:u w:val="single"/>
          <w:rtl/>
        </w:rPr>
      </w:pPr>
      <w:r>
        <w:rPr>
          <w:rFonts w:hint="cs"/>
          <w:b/>
          <w:bCs/>
          <w:sz w:val="30"/>
          <w:szCs w:val="30"/>
          <w:u w:val="single"/>
          <w:rtl/>
        </w:rPr>
        <w:t>הטענות והתביעות הכספיות:</w:t>
      </w:r>
    </w:p>
    <w:p>
      <w:pPr>
        <w:pStyle w:val="1"/>
        <w:numPr>
          <w:ilvl w:val="0"/>
          <w:numId w:val="0"/>
        </w:numPr>
        <w:ind w:left="879" w:hanging="737"/>
        <w:rPr>
          <w:rFonts w:cs="David" w:hint="cs"/>
          <w:b/>
          <w:bCs/>
          <w:u w:val="single"/>
          <w:rtl/>
        </w:rPr>
      </w:pPr>
      <w:r>
        <w:rPr>
          <w:rFonts w:cs="David" w:hint="cs"/>
          <w:b/>
          <w:bCs/>
          <w:u w:val="single"/>
          <w:rtl/>
        </w:rPr>
        <w:t>ב.  פיצויי פיטורים:</w:t>
      </w:r>
    </w:p>
    <w:p>
      <w:pPr>
        <w:pStyle w:val="1"/>
        <w:rPr>
          <w:rFonts w:cs="David" w:hint="cs"/>
        </w:rPr>
      </w:pPr>
      <w:r>
        <w:rPr>
          <w:rFonts w:cs="David" w:hint="cs"/>
          <w:rtl/>
        </w:rPr>
        <w:t>התובעת עבדה מחודש 5/2000 ועד אמצע חודש 1/12, עת פוטרה מעבודתה.</w:t>
      </w:r>
    </w:p>
    <w:p>
      <w:pPr>
        <w:pStyle w:val="1"/>
        <w:rPr>
          <w:rFonts w:cs="David" w:hint="cs"/>
        </w:rPr>
      </w:pPr>
      <w:r>
        <w:rPr>
          <w:rFonts w:cs="David" w:hint="cs"/>
          <w:rtl/>
        </w:rPr>
        <w:t xml:space="preserve">בתקופה זו עבדה התובעת 77.5 חודשים בגינם זכאית התובעת לתשלום פיצויי פיטורים. </w:t>
      </w:r>
    </w:p>
    <w:p>
      <w:pPr>
        <w:pStyle w:val="1"/>
        <w:numPr>
          <w:ilvl w:val="0"/>
          <w:numId w:val="0"/>
        </w:numPr>
        <w:ind w:left="879"/>
        <w:rPr>
          <w:rFonts w:cs="David" w:hint="cs"/>
        </w:rPr>
      </w:pPr>
      <w:r>
        <w:rPr>
          <w:rFonts w:cs="David" w:hint="cs"/>
          <w:rtl/>
        </w:rPr>
        <w:t>טבלה בה פירוט חודשי העבודה של התובעת מצ"ב כ</w:t>
      </w:r>
      <w:r>
        <w:rPr>
          <w:rFonts w:cs="David" w:hint="cs"/>
          <w:b/>
          <w:bCs/>
          <w:u w:val="single"/>
          <w:rtl/>
        </w:rPr>
        <w:t>נספח ג'</w:t>
      </w:r>
      <w:r>
        <w:rPr>
          <w:rFonts w:cs="David" w:hint="cs"/>
          <w:rtl/>
        </w:rPr>
        <w:t>.</w:t>
      </w:r>
    </w:p>
    <w:p>
      <w:pPr>
        <w:pStyle w:val="1"/>
        <w:rPr>
          <w:rFonts w:cs="David" w:hint="cs"/>
        </w:rPr>
      </w:pPr>
      <w:r>
        <w:rPr>
          <w:rFonts w:cs="David" w:hint="cs"/>
          <w:rtl/>
        </w:rPr>
        <w:t>מן הראוי לציין כי יש לקחת בחשבון את כל חודשי העבודה של התובעת כאמור בחשוב הפיצויים מן הטעם, כי בין קורס לקורס אותו לימדה התובעת חלה הפסקה ארעית ללא ניתוק יחסי עובד ומעביד, כאמור בסעיף 2(9) לחוק פיצויי פיטורים, התשכ"ג-1963, או לחלופין יש לראות בתובעת כעובדת עונתית.</w:t>
      </w:r>
    </w:p>
    <w:p>
      <w:pPr>
        <w:pStyle w:val="1"/>
        <w:rPr>
          <w:rFonts w:cs="David" w:hint="cs"/>
        </w:rPr>
      </w:pPr>
      <w:r>
        <w:rPr>
          <w:rFonts w:cs="David" w:hint="cs"/>
          <w:rtl/>
        </w:rPr>
        <w:t xml:space="preserve">מאחר ששכרה של התובעת נגזר משעות הרצאה ומבחנים שנבדקו על ידה, הרי שיש לחשב את שכרה של התובעת על בסיס ממוצע שכרה ב- 12 החודשים האחרונים בהם עבדה (לא כולל חודש ינואר 2012 בו הופסקה עבודת התובעת באמצע החודש). </w:t>
      </w:r>
    </w:p>
    <w:p>
      <w:pPr>
        <w:pStyle w:val="1"/>
        <w:numPr>
          <w:ilvl w:val="0"/>
          <w:numId w:val="0"/>
        </w:numPr>
        <w:ind w:left="879"/>
        <w:rPr>
          <w:rFonts w:cs="David" w:hint="cs"/>
        </w:rPr>
      </w:pPr>
    </w:p>
    <w:p>
      <w:pPr>
        <w:pStyle w:val="1"/>
        <w:rPr>
          <w:rFonts w:cs="David" w:hint="cs"/>
        </w:rPr>
      </w:pPr>
      <w:r>
        <w:rPr>
          <w:rFonts w:cs="David" w:hint="cs"/>
          <w:rtl/>
        </w:rPr>
        <w:t>מטבלת אקסל שנערכה עולה כי שכרה הממוצע של התובעת כאמור עומד על סך של  4,677 ש"ח.</w:t>
      </w:r>
    </w:p>
    <w:p>
      <w:pPr>
        <w:pStyle w:val="1"/>
        <w:numPr>
          <w:ilvl w:val="0"/>
          <w:numId w:val="0"/>
        </w:numPr>
        <w:ind w:left="879"/>
        <w:rPr>
          <w:rFonts w:cs="David" w:hint="cs"/>
          <w:rtl/>
        </w:rPr>
      </w:pPr>
      <w:r>
        <w:rPr>
          <w:rFonts w:cs="David" w:hint="cs"/>
          <w:rtl/>
        </w:rPr>
        <w:t>טבלת אקסל בה פירוט שכרה הממוצע של התובעת לעניין חשוב פיצויים מצ"ב כ</w:t>
      </w:r>
      <w:r>
        <w:rPr>
          <w:rFonts w:cs="David" w:hint="cs"/>
          <w:b/>
          <w:bCs/>
          <w:u w:val="single"/>
          <w:rtl/>
        </w:rPr>
        <w:t>נספח ד'</w:t>
      </w:r>
      <w:r>
        <w:rPr>
          <w:rFonts w:cs="David" w:hint="cs"/>
          <w:rtl/>
        </w:rPr>
        <w:t>.</w:t>
      </w:r>
    </w:p>
    <w:p>
      <w:pPr>
        <w:pStyle w:val="1"/>
        <w:rPr>
          <w:rFonts w:cs="David" w:hint="cs"/>
        </w:rPr>
      </w:pPr>
      <w:r>
        <w:rPr>
          <w:rFonts w:cs="David" w:hint="cs"/>
          <w:rtl/>
        </w:rPr>
        <w:t xml:space="preserve">לפיכך, התובעת זכאית לתשלום פיצויי פיטורים בסך כולל </w:t>
      </w:r>
      <w:r>
        <w:rPr>
          <w:rFonts w:cs="David" w:hint="cs"/>
          <w:b/>
          <w:bCs/>
          <w:u w:val="single"/>
          <w:rtl/>
        </w:rPr>
        <w:t>30,205 ₪</w:t>
      </w:r>
      <w:r>
        <w:rPr>
          <w:rFonts w:cs="David" w:hint="cs"/>
          <w:rtl/>
        </w:rPr>
        <w:t>, לפי פירוט כדלקמן:</w:t>
      </w:r>
    </w:p>
    <w:p>
      <w:pPr>
        <w:pStyle w:val="1"/>
        <w:numPr>
          <w:ilvl w:val="0"/>
          <w:numId w:val="0"/>
        </w:numPr>
        <w:spacing w:before="0"/>
        <w:ind w:left="879"/>
        <w:rPr>
          <w:rFonts w:cs="David" w:hint="cs"/>
          <w:u w:val="single"/>
          <w:rtl/>
        </w:rPr>
      </w:pPr>
    </w:p>
    <w:p>
      <w:pPr>
        <w:pStyle w:val="1"/>
        <w:numPr>
          <w:ilvl w:val="0"/>
          <w:numId w:val="0"/>
        </w:numPr>
        <w:spacing w:before="0"/>
        <w:ind w:left="879"/>
        <w:rPr>
          <w:rFonts w:cs="David" w:hint="cs"/>
          <w:rtl/>
          <w:lang w:val="en-US"/>
        </w:rPr>
      </w:pPr>
      <w:r>
        <w:rPr>
          <w:rFonts w:cs="David" w:hint="cs"/>
          <w:u w:val="single"/>
          <w:rtl/>
        </w:rPr>
        <w:lastRenderedPageBreak/>
        <w:t>77.5 חודשים</w:t>
      </w:r>
      <w:r>
        <w:rPr>
          <w:rFonts w:cs="David" w:hint="cs"/>
          <w:rtl/>
        </w:rPr>
        <w:t xml:space="preserve">   </w:t>
      </w:r>
      <w:r>
        <w:rPr>
          <w:rFonts w:cs="David"/>
          <w:lang w:val="en-US"/>
        </w:rPr>
        <w:t>X</w:t>
      </w:r>
      <w:r>
        <w:rPr>
          <w:rFonts w:cs="David" w:hint="cs"/>
          <w:rtl/>
          <w:lang w:val="en-US"/>
        </w:rPr>
        <w:t xml:space="preserve">    4,677 ₪ =  30,205 ש"ח</w:t>
      </w:r>
    </w:p>
    <w:p>
      <w:pPr>
        <w:pStyle w:val="1"/>
        <w:numPr>
          <w:ilvl w:val="0"/>
          <w:numId w:val="0"/>
        </w:numPr>
        <w:spacing w:before="0"/>
        <w:ind w:left="879"/>
        <w:rPr>
          <w:rFonts w:cs="David"/>
          <w:lang w:val="en-US"/>
        </w:rPr>
      </w:pPr>
      <w:r>
        <w:rPr>
          <w:rFonts w:cs="David" w:hint="cs"/>
          <w:rtl/>
        </w:rPr>
        <w:t xml:space="preserve">     12</w:t>
      </w:r>
    </w:p>
    <w:p>
      <w:pPr>
        <w:pStyle w:val="1"/>
        <w:rPr>
          <w:rFonts w:cs="David" w:hint="cs"/>
        </w:rPr>
      </w:pPr>
      <w:r>
        <w:rPr>
          <w:rFonts w:cs="David" w:hint="cs"/>
          <w:rtl/>
        </w:rPr>
        <w:t xml:space="preserve">בנוסף,  התובעת זכאית לתשלום הודעה מוקדמת בת חודש ימים בסך של </w:t>
      </w:r>
      <w:r>
        <w:rPr>
          <w:rFonts w:cs="David" w:hint="cs"/>
          <w:b/>
          <w:bCs/>
          <w:u w:val="single"/>
          <w:rtl/>
        </w:rPr>
        <w:t>4,677 ₪.</w:t>
      </w:r>
    </w:p>
    <w:p>
      <w:pPr>
        <w:pStyle w:val="1"/>
        <w:numPr>
          <w:ilvl w:val="0"/>
          <w:numId w:val="0"/>
        </w:numPr>
        <w:ind w:left="879" w:hanging="737"/>
        <w:rPr>
          <w:rFonts w:cs="David" w:hint="cs"/>
          <w:b/>
          <w:bCs/>
          <w:u w:val="single"/>
          <w:rtl/>
        </w:rPr>
      </w:pPr>
    </w:p>
    <w:p>
      <w:pPr>
        <w:pStyle w:val="1"/>
        <w:numPr>
          <w:ilvl w:val="0"/>
          <w:numId w:val="0"/>
        </w:numPr>
        <w:ind w:left="879" w:hanging="737"/>
        <w:rPr>
          <w:rFonts w:cs="David" w:hint="cs"/>
          <w:b/>
          <w:bCs/>
          <w:u w:val="single"/>
        </w:rPr>
      </w:pPr>
      <w:r>
        <w:rPr>
          <w:rFonts w:cs="David" w:hint="cs"/>
          <w:b/>
          <w:bCs/>
          <w:u w:val="single"/>
          <w:rtl/>
        </w:rPr>
        <w:t>ג. דמי הבראה:</w:t>
      </w:r>
    </w:p>
    <w:p>
      <w:pPr>
        <w:pStyle w:val="1"/>
        <w:rPr>
          <w:rFonts w:cs="David" w:hint="cs"/>
        </w:rPr>
      </w:pPr>
      <w:r>
        <w:rPr>
          <w:rFonts w:cs="David" w:hint="cs"/>
          <w:rtl/>
        </w:rPr>
        <w:t>התובעת עבדה בהיקף שעות שבועיות העומד על היקף משרה של 50% (20-25 שעות שבועיות).</w:t>
      </w:r>
    </w:p>
    <w:p>
      <w:pPr>
        <w:pStyle w:val="1"/>
        <w:rPr>
          <w:rFonts w:cs="David" w:hint="cs"/>
        </w:rPr>
      </w:pPr>
      <w:r>
        <w:rPr>
          <w:rFonts w:cs="David" w:hint="cs"/>
          <w:rtl/>
        </w:rPr>
        <w:t>התובעת הייתה עובדת במדינה לכן הינה זכאית לקבלת דמי הבראה בהתאם למקובל במדינה ו/או בשירות הציבורי.</w:t>
      </w:r>
    </w:p>
    <w:p>
      <w:pPr>
        <w:pStyle w:val="1"/>
        <w:rPr>
          <w:rFonts w:cs="David" w:hint="cs"/>
        </w:rPr>
      </w:pPr>
      <w:r>
        <w:rPr>
          <w:rFonts w:cs="David" w:hint="cs"/>
          <w:rtl/>
        </w:rPr>
        <w:t>לפיכך, התובעת זכאית לתשלום דמי הבראה בגין השנתיים האחרות לעבודה לפי חשוב כלהלן:</w:t>
      </w:r>
    </w:p>
    <w:p>
      <w:pPr>
        <w:pStyle w:val="1"/>
        <w:numPr>
          <w:ilvl w:val="0"/>
          <w:numId w:val="0"/>
        </w:numPr>
        <w:ind w:left="879"/>
        <w:rPr>
          <w:rFonts w:cs="David"/>
          <w:lang w:val="en-US"/>
        </w:rPr>
      </w:pPr>
      <w:r>
        <w:rPr>
          <w:rFonts w:cs="David" w:hint="cs"/>
          <w:rtl/>
        </w:rPr>
        <w:t xml:space="preserve">(10 ימי הבראה </w:t>
      </w:r>
      <w:r>
        <w:rPr>
          <w:rFonts w:cs="David"/>
          <w:lang w:val="en-US"/>
        </w:rPr>
        <w:t>X</w:t>
      </w:r>
      <w:r>
        <w:rPr>
          <w:rFonts w:cs="David" w:hint="cs"/>
          <w:rtl/>
          <w:lang w:val="en-US"/>
        </w:rPr>
        <w:t xml:space="preserve">    411 ₪  + 9 </w:t>
      </w:r>
      <w:r>
        <w:rPr>
          <w:rFonts w:cs="David"/>
          <w:lang w:val="en-US"/>
        </w:rPr>
        <w:t>X</w:t>
      </w:r>
      <w:r>
        <w:rPr>
          <w:rFonts w:cs="David" w:hint="cs"/>
          <w:rtl/>
          <w:lang w:val="en-US"/>
        </w:rPr>
        <w:t xml:space="preserve">     395 ₪) </w:t>
      </w:r>
      <w:r>
        <w:rPr>
          <w:rFonts w:cs="David"/>
          <w:lang w:val="en-US"/>
        </w:rPr>
        <w:t>X</w:t>
      </w:r>
      <w:r>
        <w:rPr>
          <w:rFonts w:cs="David" w:hint="cs"/>
          <w:rtl/>
          <w:lang w:val="en-US"/>
        </w:rPr>
        <w:t xml:space="preserve"> </w:t>
      </w:r>
      <w:r>
        <w:rPr>
          <w:rFonts w:cs="David"/>
          <w:lang w:val="en-US"/>
        </w:rPr>
        <w:t xml:space="preserve"> </w:t>
      </w:r>
      <w:r>
        <w:rPr>
          <w:rFonts w:cs="David" w:hint="cs"/>
          <w:rtl/>
          <w:lang w:val="en-US"/>
        </w:rPr>
        <w:t>0.5 משרה ֵ</w:t>
      </w:r>
      <w:r>
        <w:rPr>
          <w:rFonts w:cs="David"/>
          <w:lang w:val="en-US"/>
        </w:rPr>
        <w:t xml:space="preserve"> </w:t>
      </w:r>
      <w:r>
        <w:rPr>
          <w:rFonts w:cs="David" w:hint="cs"/>
          <w:rtl/>
          <w:lang w:val="en-US"/>
        </w:rPr>
        <w:t>=  3,832 ש"ח</w:t>
      </w:r>
    </w:p>
    <w:p>
      <w:pPr>
        <w:pStyle w:val="1"/>
        <w:numPr>
          <w:ilvl w:val="0"/>
          <w:numId w:val="0"/>
        </w:numPr>
        <w:ind w:left="142"/>
        <w:rPr>
          <w:rFonts w:cs="David"/>
          <w:b/>
          <w:bCs/>
          <w:u w:val="single"/>
          <w:rtl/>
        </w:rPr>
      </w:pPr>
    </w:p>
    <w:p>
      <w:pPr>
        <w:pStyle w:val="1"/>
        <w:numPr>
          <w:ilvl w:val="0"/>
          <w:numId w:val="0"/>
        </w:numPr>
        <w:ind w:left="142"/>
        <w:rPr>
          <w:rFonts w:cs="David"/>
          <w:b/>
          <w:bCs/>
          <w:u w:val="single"/>
          <w:rtl/>
        </w:rPr>
      </w:pPr>
    </w:p>
    <w:p>
      <w:pPr>
        <w:pStyle w:val="1"/>
        <w:numPr>
          <w:ilvl w:val="0"/>
          <w:numId w:val="0"/>
        </w:numPr>
        <w:ind w:left="142"/>
        <w:rPr>
          <w:rFonts w:cs="David" w:hint="cs"/>
          <w:b/>
          <w:bCs/>
          <w:u w:val="single"/>
          <w:rtl/>
        </w:rPr>
      </w:pPr>
    </w:p>
    <w:p>
      <w:pPr>
        <w:pStyle w:val="1"/>
        <w:numPr>
          <w:ilvl w:val="0"/>
          <w:numId w:val="0"/>
        </w:numPr>
        <w:ind w:left="142"/>
        <w:rPr>
          <w:rFonts w:cs="David" w:hint="cs"/>
          <w:b/>
          <w:bCs/>
          <w:u w:val="single"/>
        </w:rPr>
      </w:pPr>
      <w:r>
        <w:rPr>
          <w:rFonts w:cs="David" w:hint="cs"/>
          <w:b/>
          <w:bCs/>
          <w:u w:val="single"/>
          <w:rtl/>
        </w:rPr>
        <w:t>ד. פנסיה:</w:t>
      </w:r>
    </w:p>
    <w:p>
      <w:pPr>
        <w:pStyle w:val="1"/>
        <w:rPr>
          <w:rFonts w:cs="David" w:hint="cs"/>
        </w:rPr>
      </w:pPr>
      <w:r>
        <w:rPr>
          <w:rFonts w:cs="David" w:hint="cs"/>
          <w:rtl/>
        </w:rPr>
        <w:t>מאחר שהתובעת הייתה עובדת מדינה הייתה זכאית התובעת להפקדות בשיעור של 6% בגין תגמולים, כמקובל במדינה.</w:t>
      </w:r>
    </w:p>
    <w:p>
      <w:pPr>
        <w:pStyle w:val="1"/>
        <w:rPr>
          <w:rFonts w:cs="David" w:hint="cs"/>
        </w:rPr>
      </w:pPr>
      <w:r>
        <w:rPr>
          <w:rFonts w:cs="David" w:hint="cs"/>
          <w:rtl/>
        </w:rPr>
        <w:t>לפיכך, התובעת זכאית להפרשי הפקדות בסך כולל של 8,566₪ נטו.</w:t>
      </w:r>
    </w:p>
    <w:p>
      <w:pPr>
        <w:pStyle w:val="1"/>
        <w:numPr>
          <w:ilvl w:val="0"/>
          <w:numId w:val="0"/>
        </w:numPr>
        <w:ind w:left="879"/>
        <w:rPr>
          <w:rFonts w:cs="David" w:hint="cs"/>
        </w:rPr>
      </w:pPr>
      <w:r>
        <w:rPr>
          <w:rFonts w:cs="David" w:hint="cs"/>
          <w:rtl/>
        </w:rPr>
        <w:t>טבלת אקסל בה פירוט ההפקדות להן הייתה זכאית התובעת מצ"ב כ</w:t>
      </w:r>
      <w:r>
        <w:rPr>
          <w:rFonts w:cs="David" w:hint="cs"/>
          <w:b/>
          <w:bCs/>
          <w:u w:val="single"/>
          <w:rtl/>
        </w:rPr>
        <w:t>נספח ה'</w:t>
      </w:r>
      <w:r>
        <w:rPr>
          <w:rFonts w:cs="David" w:hint="cs"/>
          <w:rtl/>
        </w:rPr>
        <w:t>.</w:t>
      </w:r>
    </w:p>
    <w:p>
      <w:pPr>
        <w:pStyle w:val="1"/>
        <w:rPr>
          <w:rFonts w:cs="David" w:hint="cs"/>
        </w:rPr>
      </w:pPr>
      <w:r>
        <w:rPr>
          <w:rFonts w:cs="David" w:hint="cs"/>
          <w:rtl/>
        </w:rPr>
        <w:t>לחלופין, ומבלי לפגוע באמור לעיל, התובעת זכאית להפקדות מכוח צו ההרחבה הכללי במשק.</w:t>
      </w:r>
    </w:p>
    <w:p>
      <w:pPr>
        <w:pStyle w:val="1"/>
        <w:numPr>
          <w:ilvl w:val="0"/>
          <w:numId w:val="0"/>
        </w:numPr>
        <w:ind w:left="142"/>
        <w:rPr>
          <w:rFonts w:cs="David" w:hint="cs"/>
          <w:b/>
          <w:bCs/>
          <w:u w:val="single"/>
          <w:rtl/>
        </w:rPr>
      </w:pPr>
    </w:p>
    <w:p>
      <w:pPr>
        <w:pStyle w:val="1"/>
        <w:numPr>
          <w:ilvl w:val="0"/>
          <w:numId w:val="0"/>
        </w:numPr>
        <w:ind w:left="142"/>
        <w:rPr>
          <w:rFonts w:cs="David" w:hint="cs"/>
          <w:b/>
          <w:bCs/>
          <w:u w:val="single"/>
        </w:rPr>
      </w:pPr>
      <w:r>
        <w:rPr>
          <w:rFonts w:cs="David" w:hint="cs"/>
          <w:b/>
          <w:bCs/>
          <w:u w:val="single"/>
          <w:rtl/>
        </w:rPr>
        <w:t>ה.  קרן השתלמות:</w:t>
      </w:r>
    </w:p>
    <w:p>
      <w:pPr>
        <w:pStyle w:val="1"/>
        <w:rPr>
          <w:rFonts w:cs="David" w:hint="cs"/>
        </w:rPr>
      </w:pPr>
      <w:r>
        <w:rPr>
          <w:rFonts w:cs="David" w:hint="cs"/>
          <w:rtl/>
        </w:rPr>
        <w:t>מאחר שהתובעת הינה עובדת מדינה הייתה היא זכאית להפקדות בשיעור של 7.5% בגין קרן השתלמות, כמקובל לעובדי המדינה.</w:t>
      </w:r>
    </w:p>
    <w:p>
      <w:pPr>
        <w:pStyle w:val="1"/>
        <w:rPr>
          <w:rFonts w:cs="David" w:hint="cs"/>
        </w:rPr>
      </w:pPr>
      <w:r>
        <w:rPr>
          <w:rFonts w:cs="David" w:hint="cs"/>
          <w:rtl/>
        </w:rPr>
        <w:lastRenderedPageBreak/>
        <w:t xml:space="preserve">לפיכך, התובעת זכאית להפרשי הפקדות לקרן השתלמות בסך כולל של  </w:t>
      </w:r>
      <w:r>
        <w:rPr>
          <w:rFonts w:cs="David" w:hint="cs"/>
          <w:b/>
          <w:bCs/>
          <w:u w:val="single"/>
          <w:rtl/>
        </w:rPr>
        <w:t>10,707 ₪</w:t>
      </w:r>
      <w:r>
        <w:rPr>
          <w:rFonts w:cs="David" w:hint="cs"/>
          <w:rtl/>
        </w:rPr>
        <w:t xml:space="preserve"> נטו.</w:t>
      </w:r>
    </w:p>
    <w:p>
      <w:pPr>
        <w:pStyle w:val="1"/>
        <w:numPr>
          <w:ilvl w:val="0"/>
          <w:numId w:val="0"/>
        </w:numPr>
        <w:ind w:left="879"/>
        <w:rPr>
          <w:rFonts w:cs="David" w:hint="cs"/>
        </w:rPr>
      </w:pPr>
      <w:r>
        <w:rPr>
          <w:rFonts w:cs="David" w:hint="cs"/>
          <w:rtl/>
        </w:rPr>
        <w:t>טבלת אקסל בה פירוט ההפקדות הנדרשות לקרן השתלמות מצ"ב כ</w:t>
      </w:r>
      <w:r>
        <w:rPr>
          <w:rFonts w:cs="David" w:hint="cs"/>
          <w:b/>
          <w:bCs/>
          <w:u w:val="single"/>
          <w:rtl/>
        </w:rPr>
        <w:t>נספח ו'</w:t>
      </w:r>
      <w:r>
        <w:rPr>
          <w:rFonts w:cs="David" w:hint="cs"/>
          <w:rtl/>
        </w:rPr>
        <w:t>.</w:t>
      </w:r>
    </w:p>
    <w:p>
      <w:pPr>
        <w:pStyle w:val="1"/>
        <w:numPr>
          <w:ilvl w:val="0"/>
          <w:numId w:val="0"/>
        </w:numPr>
        <w:ind w:left="142"/>
        <w:rPr>
          <w:rFonts w:cs="David" w:hint="cs"/>
          <w:b/>
          <w:bCs/>
          <w:u w:val="single"/>
          <w:rtl/>
        </w:rPr>
      </w:pPr>
    </w:p>
    <w:p>
      <w:pPr>
        <w:pStyle w:val="1"/>
        <w:numPr>
          <w:ilvl w:val="0"/>
          <w:numId w:val="0"/>
        </w:numPr>
        <w:ind w:left="142"/>
        <w:rPr>
          <w:rFonts w:cs="David" w:hint="cs"/>
          <w:b/>
          <w:bCs/>
          <w:u w:val="single"/>
          <w:rtl/>
        </w:rPr>
      </w:pPr>
      <w:r>
        <w:rPr>
          <w:rFonts w:cs="David" w:hint="cs"/>
          <w:b/>
          <w:bCs/>
          <w:u w:val="single"/>
          <w:rtl/>
        </w:rPr>
        <w:t>ו. חופשה שנתית:</w:t>
      </w:r>
    </w:p>
    <w:p>
      <w:pPr>
        <w:pStyle w:val="1"/>
        <w:rPr>
          <w:rFonts w:cs="David" w:hint="cs"/>
        </w:rPr>
      </w:pPr>
      <w:r>
        <w:rPr>
          <w:rFonts w:cs="David" w:hint="cs"/>
          <w:rtl/>
        </w:rPr>
        <w:t>לאורך כל תקופת עבודתה לא שולם לתובעת פדיון ימי חופשה.</w:t>
      </w:r>
    </w:p>
    <w:p>
      <w:pPr>
        <w:pStyle w:val="1"/>
        <w:rPr>
          <w:rFonts w:cs="David" w:hint="cs"/>
        </w:rPr>
      </w:pPr>
      <w:r>
        <w:rPr>
          <w:rFonts w:cs="David" w:hint="cs"/>
          <w:rtl/>
        </w:rPr>
        <w:t xml:space="preserve">לפיכך, התובעת זכאית לפדיון ימי חופשה בגין 3 השנים האחרונות לעבודתה בצירוף השנה השוטפת. לו התובעת הייתה עובדת במשרה מלאה הייתה התובעת זכאית, בשים לב לוותק שלה במקום העבודה, ל- 23 ימי חופשה בגין שנת 2009, ל- 24 ימי חופשה בגין שנית 2010, ול- 25 ימי חופשה בגין שנת 2011. </w:t>
      </w:r>
    </w:p>
    <w:p>
      <w:pPr>
        <w:pStyle w:val="1"/>
        <w:rPr>
          <w:rFonts w:cs="David" w:hint="cs"/>
        </w:rPr>
      </w:pPr>
      <w:r>
        <w:rPr>
          <w:rFonts w:cs="David" w:hint="cs"/>
          <w:rtl/>
        </w:rPr>
        <w:t>בשלושה חודשים אחרונים לעבודה השתכרה התובעת 21,408 ש"ח בממוצע.</w:t>
      </w:r>
    </w:p>
    <w:p>
      <w:pPr>
        <w:pStyle w:val="1"/>
        <w:numPr>
          <w:ilvl w:val="0"/>
          <w:numId w:val="0"/>
        </w:numPr>
        <w:ind w:left="879"/>
        <w:rPr>
          <w:rFonts w:cs="David" w:hint="cs"/>
        </w:rPr>
      </w:pPr>
      <w:r>
        <w:rPr>
          <w:rFonts w:cs="David" w:hint="cs"/>
          <w:rtl/>
        </w:rPr>
        <w:t>טבלת אקסל בה פירוט שכרה של התובעת מצ"ב כ</w:t>
      </w:r>
      <w:r>
        <w:rPr>
          <w:rFonts w:cs="David" w:hint="cs"/>
          <w:b/>
          <w:bCs/>
          <w:u w:val="single"/>
          <w:rtl/>
        </w:rPr>
        <w:t>נספח ז'</w:t>
      </w:r>
      <w:r>
        <w:rPr>
          <w:rFonts w:cs="David" w:hint="cs"/>
          <w:rtl/>
        </w:rPr>
        <w:t>.</w:t>
      </w:r>
    </w:p>
    <w:p>
      <w:pPr>
        <w:pStyle w:val="1"/>
        <w:rPr>
          <w:rFonts w:cs="David" w:hint="cs"/>
        </w:rPr>
      </w:pPr>
      <w:r>
        <w:rPr>
          <w:rFonts w:cs="David" w:hint="cs"/>
          <w:rtl/>
        </w:rPr>
        <w:t>תעריף ליום חופשה עומד על סך של  237 ש"ח:</w:t>
      </w:r>
    </w:p>
    <w:p>
      <w:pPr>
        <w:pStyle w:val="1"/>
        <w:numPr>
          <w:ilvl w:val="0"/>
          <w:numId w:val="0"/>
        </w:numPr>
        <w:spacing w:before="0" w:line="240" w:lineRule="auto"/>
        <w:ind w:left="879"/>
        <w:rPr>
          <w:rFonts w:cs="David" w:hint="cs"/>
          <w:rtl/>
          <w:lang w:val="en-US"/>
        </w:rPr>
      </w:pPr>
      <w:r>
        <w:rPr>
          <w:rFonts w:cs="David" w:hint="cs"/>
          <w:u w:val="single"/>
          <w:rtl/>
          <w:lang w:val="en-US"/>
        </w:rPr>
        <w:t>21,408 ₪</w:t>
      </w:r>
      <w:r>
        <w:rPr>
          <w:rFonts w:cs="David" w:hint="cs"/>
          <w:rtl/>
          <w:lang w:val="en-US"/>
        </w:rPr>
        <w:t xml:space="preserve">     = 237 ש"ח</w:t>
      </w:r>
    </w:p>
    <w:p>
      <w:pPr>
        <w:pStyle w:val="1"/>
        <w:numPr>
          <w:ilvl w:val="0"/>
          <w:numId w:val="0"/>
        </w:numPr>
        <w:spacing w:before="0" w:line="240" w:lineRule="auto"/>
        <w:ind w:left="879"/>
        <w:rPr>
          <w:rFonts w:cs="David"/>
          <w:lang w:val="en-US"/>
        </w:rPr>
      </w:pPr>
      <w:r>
        <w:rPr>
          <w:rFonts w:cs="David" w:hint="cs"/>
          <w:rtl/>
          <w:lang w:val="en-US"/>
        </w:rPr>
        <w:t xml:space="preserve">  90</w:t>
      </w:r>
    </w:p>
    <w:p>
      <w:pPr>
        <w:pStyle w:val="1"/>
        <w:rPr>
          <w:rFonts w:cs="David" w:hint="cs"/>
        </w:rPr>
      </w:pPr>
      <w:r>
        <w:rPr>
          <w:rFonts w:cs="David" w:hint="cs"/>
          <w:rtl/>
        </w:rPr>
        <w:t>יובהר כי התעריף ליום חופשה נקבע לפי חלוקה של השכר בשלושת החודשים כאמור ב- 90 ימים, הכוללים גם ימי העדירות של התובעת וימי מנוחה, כך שהיקף המשרה והעדר זכאות התובעת לקבלת תשלום בגין ימי המנוחה מגולמים בתעריף ליום חופשה.</w:t>
      </w:r>
    </w:p>
    <w:p>
      <w:pPr>
        <w:pStyle w:val="1"/>
        <w:rPr>
          <w:rFonts w:cs="David" w:hint="cs"/>
        </w:rPr>
      </w:pPr>
      <w:r>
        <w:rPr>
          <w:rFonts w:cs="David" w:hint="cs"/>
          <w:rtl/>
        </w:rPr>
        <w:t>לפיכך, התובעת זכאית לקבלת פדיון ימי חופשה בסך של 17,064 שח, לפי פירוט כלהלן:</w:t>
      </w:r>
    </w:p>
    <w:p>
      <w:pPr>
        <w:pStyle w:val="1"/>
        <w:numPr>
          <w:ilvl w:val="0"/>
          <w:numId w:val="0"/>
        </w:numPr>
        <w:ind w:left="879"/>
        <w:rPr>
          <w:rFonts w:cs="David" w:hint="cs"/>
          <w:rtl/>
          <w:lang w:val="en-US"/>
        </w:rPr>
      </w:pPr>
      <w:r>
        <w:rPr>
          <w:rFonts w:cs="David" w:hint="cs"/>
          <w:rtl/>
        </w:rPr>
        <w:t xml:space="preserve">36 ימים </w:t>
      </w:r>
      <w:r>
        <w:rPr>
          <w:rFonts w:cs="David"/>
          <w:lang w:val="en-US"/>
        </w:rPr>
        <w:t>X</w:t>
      </w:r>
      <w:r>
        <w:rPr>
          <w:rFonts w:cs="David" w:hint="cs"/>
          <w:rtl/>
          <w:lang w:val="en-US"/>
        </w:rPr>
        <w:t xml:space="preserve">   237 ₪ =  17,064 ₪</w:t>
      </w:r>
    </w:p>
    <w:p>
      <w:pPr>
        <w:pStyle w:val="1"/>
        <w:numPr>
          <w:ilvl w:val="0"/>
          <w:numId w:val="0"/>
        </w:numPr>
        <w:ind w:left="879" w:hanging="737"/>
        <w:rPr>
          <w:rFonts w:cs="David" w:hint="cs"/>
          <w:b/>
          <w:bCs/>
          <w:u w:val="single"/>
          <w:rtl/>
          <w:lang w:val="en-US"/>
        </w:rPr>
      </w:pPr>
    </w:p>
    <w:p>
      <w:pPr>
        <w:pStyle w:val="1"/>
        <w:numPr>
          <w:ilvl w:val="0"/>
          <w:numId w:val="0"/>
        </w:numPr>
        <w:ind w:left="879" w:hanging="737"/>
        <w:rPr>
          <w:rFonts w:cs="David"/>
          <w:b/>
          <w:bCs/>
          <w:u w:val="single"/>
          <w:rtl/>
          <w:lang w:val="en-US"/>
        </w:rPr>
      </w:pPr>
      <w:r>
        <w:rPr>
          <w:rFonts w:cs="David" w:hint="cs"/>
          <w:b/>
          <w:bCs/>
          <w:u w:val="single"/>
          <w:rtl/>
          <w:lang w:val="en-US"/>
        </w:rPr>
        <w:t>ז. דמי חגים:</w:t>
      </w:r>
    </w:p>
    <w:p>
      <w:pPr>
        <w:pStyle w:val="1"/>
        <w:rPr>
          <w:rFonts w:cs="David" w:hint="cs"/>
        </w:rPr>
      </w:pPr>
      <w:r>
        <w:rPr>
          <w:rFonts w:cs="David" w:hint="cs"/>
          <w:rtl/>
        </w:rPr>
        <w:t>כעולה מטבלת  אקסל שנערכה התובעת זכאית ל- 13 ימי חג.</w:t>
      </w:r>
    </w:p>
    <w:p>
      <w:pPr>
        <w:pStyle w:val="1"/>
        <w:numPr>
          <w:ilvl w:val="0"/>
          <w:numId w:val="0"/>
        </w:numPr>
        <w:ind w:left="879"/>
        <w:rPr>
          <w:rFonts w:cs="David" w:hint="cs"/>
          <w:rtl/>
        </w:rPr>
      </w:pPr>
      <w:r>
        <w:rPr>
          <w:rFonts w:cs="David" w:hint="cs"/>
          <w:rtl/>
        </w:rPr>
        <w:t>העתק מטבלת אקסל מצ"ב כ</w:t>
      </w:r>
      <w:r>
        <w:rPr>
          <w:rFonts w:cs="David" w:hint="cs"/>
          <w:b/>
          <w:bCs/>
          <w:u w:val="single"/>
          <w:rtl/>
        </w:rPr>
        <w:t>נספח ח'</w:t>
      </w:r>
      <w:r>
        <w:rPr>
          <w:rFonts w:cs="David" w:hint="cs"/>
          <w:rtl/>
        </w:rPr>
        <w:t>.</w:t>
      </w:r>
    </w:p>
    <w:p>
      <w:pPr>
        <w:pStyle w:val="1"/>
        <w:rPr>
          <w:rFonts w:cs="David" w:hint="cs"/>
        </w:rPr>
      </w:pPr>
      <w:r>
        <w:rPr>
          <w:rFonts w:cs="David" w:hint="cs"/>
          <w:rtl/>
        </w:rPr>
        <w:t>לצורך חשוב יום נלקח בחשבון תעריף ליום חופשה כאמור, המגלם בתוכו את היקף המשרה של התובעת כאמור.</w:t>
      </w:r>
    </w:p>
    <w:p>
      <w:pPr>
        <w:pStyle w:val="1"/>
        <w:rPr>
          <w:rFonts w:cs="David" w:hint="cs"/>
        </w:rPr>
      </w:pPr>
      <w:r>
        <w:rPr>
          <w:rFonts w:cs="David" w:hint="cs"/>
          <w:rtl/>
        </w:rPr>
        <w:t>לפיכך, התובעת זכאית לקבלת דמי חג בסך של 3,081 ₪:</w:t>
      </w:r>
    </w:p>
    <w:p>
      <w:pPr>
        <w:pStyle w:val="1"/>
        <w:numPr>
          <w:ilvl w:val="0"/>
          <w:numId w:val="0"/>
        </w:numPr>
        <w:ind w:left="879"/>
        <w:rPr>
          <w:rFonts w:cs="David"/>
          <w:rtl/>
          <w:lang w:val="en-US"/>
        </w:rPr>
      </w:pPr>
      <w:r>
        <w:rPr>
          <w:rFonts w:cs="David" w:hint="cs"/>
          <w:rtl/>
        </w:rPr>
        <w:t xml:space="preserve">13 ימים </w:t>
      </w:r>
      <w:r>
        <w:rPr>
          <w:rFonts w:cs="David"/>
          <w:lang w:val="en-US"/>
        </w:rPr>
        <w:t>X</w:t>
      </w:r>
      <w:r>
        <w:rPr>
          <w:rFonts w:cs="David" w:hint="cs"/>
          <w:rtl/>
          <w:lang w:val="en-US"/>
        </w:rPr>
        <w:t xml:space="preserve">  237 =  3,081 ש"ח</w:t>
      </w:r>
    </w:p>
    <w:p>
      <w:pPr>
        <w:pStyle w:val="1"/>
        <w:numPr>
          <w:ilvl w:val="0"/>
          <w:numId w:val="0"/>
        </w:numPr>
        <w:ind w:left="142"/>
        <w:rPr>
          <w:rFonts w:cs="David" w:hint="cs"/>
          <w:b/>
          <w:bCs/>
          <w:u w:val="single"/>
          <w:rtl/>
        </w:rPr>
      </w:pPr>
    </w:p>
    <w:p>
      <w:pPr>
        <w:pStyle w:val="1"/>
        <w:numPr>
          <w:ilvl w:val="0"/>
          <w:numId w:val="0"/>
        </w:numPr>
        <w:ind w:left="142"/>
        <w:rPr>
          <w:rFonts w:cs="David" w:hint="cs"/>
          <w:b/>
          <w:bCs/>
          <w:u w:val="single"/>
          <w:rtl/>
        </w:rPr>
      </w:pPr>
      <w:r>
        <w:rPr>
          <w:rFonts w:cs="David" w:hint="cs"/>
          <w:b/>
          <w:bCs/>
          <w:u w:val="single"/>
          <w:rtl/>
        </w:rPr>
        <w:t>ח. הודעה על הסכם ההעסקה:</w:t>
      </w:r>
    </w:p>
    <w:p>
      <w:pPr>
        <w:pStyle w:val="1"/>
        <w:rPr>
          <w:rFonts w:cs="David" w:hint="cs"/>
        </w:rPr>
      </w:pPr>
      <w:r>
        <w:rPr>
          <w:rFonts w:cs="David" w:hint="cs"/>
          <w:rtl/>
        </w:rPr>
        <w:t>התובעת הועסקה מבלי שקבלה הודעה על תנאי ההעסקה.</w:t>
      </w:r>
    </w:p>
    <w:p>
      <w:pPr>
        <w:pStyle w:val="1"/>
        <w:rPr>
          <w:rFonts w:cs="David" w:hint="cs"/>
        </w:rPr>
      </w:pPr>
      <w:r>
        <w:rPr>
          <w:rFonts w:cs="David" w:hint="cs"/>
          <w:rtl/>
        </w:rPr>
        <w:t>התובעת מעמידה  הפיצוי המגיע לה בגין רכיב זה על סך של 5,000 ₪.</w:t>
      </w:r>
    </w:p>
    <w:p>
      <w:pPr>
        <w:pStyle w:val="1"/>
        <w:numPr>
          <w:ilvl w:val="0"/>
          <w:numId w:val="0"/>
        </w:numPr>
        <w:ind w:left="142"/>
        <w:rPr>
          <w:rFonts w:cs="David" w:hint="cs"/>
          <w:b/>
          <w:bCs/>
          <w:u w:val="single"/>
          <w:rtl/>
        </w:rPr>
      </w:pPr>
    </w:p>
    <w:p>
      <w:pPr>
        <w:pStyle w:val="1"/>
        <w:numPr>
          <w:ilvl w:val="0"/>
          <w:numId w:val="0"/>
        </w:numPr>
        <w:ind w:left="142"/>
        <w:rPr>
          <w:rFonts w:cs="David" w:hint="cs"/>
          <w:b/>
          <w:bCs/>
          <w:u w:val="single"/>
          <w:rtl/>
        </w:rPr>
      </w:pPr>
      <w:r>
        <w:rPr>
          <w:rFonts w:cs="David" w:hint="cs"/>
          <w:b/>
          <w:bCs/>
          <w:u w:val="single"/>
          <w:rtl/>
        </w:rPr>
        <w:t>ט. תלושי שכר:</w:t>
      </w:r>
    </w:p>
    <w:p>
      <w:pPr>
        <w:pStyle w:val="1"/>
        <w:rPr>
          <w:rFonts w:cs="David" w:hint="cs"/>
        </w:rPr>
      </w:pPr>
      <w:r>
        <w:rPr>
          <w:rFonts w:cs="David" w:hint="cs"/>
          <w:rtl/>
        </w:rPr>
        <w:t>לתובעת הונפקו תלושי שכר, מבלי שנכללו בהם הפרטים הנדרשים על פי דין.</w:t>
      </w:r>
    </w:p>
    <w:p>
      <w:pPr>
        <w:pStyle w:val="1"/>
        <w:rPr>
          <w:rFonts w:cs="David" w:hint="cs"/>
        </w:rPr>
      </w:pPr>
      <w:r>
        <w:rPr>
          <w:rFonts w:cs="David" w:hint="cs"/>
          <w:rtl/>
        </w:rPr>
        <w:t>הנתבעת מעמידה את הפיצוי הכספי המגיע לה בגין רכיב זה על סך של   5,000 ₪.</w:t>
      </w:r>
    </w:p>
    <w:p>
      <w:pPr>
        <w:pStyle w:val="1"/>
        <w:numPr>
          <w:ilvl w:val="0"/>
          <w:numId w:val="0"/>
        </w:numPr>
        <w:ind w:left="142"/>
        <w:rPr>
          <w:rFonts w:cs="David" w:hint="cs"/>
          <w:b/>
          <w:bCs/>
          <w:u w:val="single"/>
          <w:rtl/>
        </w:rPr>
      </w:pPr>
    </w:p>
    <w:p>
      <w:pPr>
        <w:pStyle w:val="1"/>
        <w:numPr>
          <w:ilvl w:val="0"/>
          <w:numId w:val="0"/>
        </w:numPr>
        <w:ind w:left="142"/>
        <w:rPr>
          <w:rFonts w:cs="David" w:hint="cs"/>
          <w:b/>
          <w:bCs/>
          <w:u w:val="single"/>
          <w:rtl/>
          <w:lang w:val="en-US"/>
        </w:rPr>
      </w:pPr>
      <w:r>
        <w:rPr>
          <w:rFonts w:cs="David" w:hint="cs"/>
          <w:b/>
          <w:bCs/>
          <w:u w:val="single"/>
          <w:rtl/>
        </w:rPr>
        <w:t>י. פיטורים שלא כדין</w:t>
      </w:r>
      <w:r>
        <w:rPr>
          <w:rFonts w:cs="David" w:hint="cs"/>
          <w:b/>
          <w:bCs/>
          <w:u w:val="single"/>
          <w:rtl/>
          <w:lang w:val="en-US"/>
        </w:rPr>
        <w:t>:</w:t>
      </w:r>
    </w:p>
    <w:p>
      <w:pPr>
        <w:pStyle w:val="1"/>
        <w:rPr>
          <w:rFonts w:cs="David" w:hint="cs"/>
        </w:rPr>
      </w:pPr>
      <w:r>
        <w:rPr>
          <w:rFonts w:cs="David" w:hint="cs"/>
          <w:rtl/>
        </w:rPr>
        <w:t>התובעת פוטרה בהליך לא תקין, מבלי שקוים כל הליך של שימוע בעניינה.</w:t>
      </w:r>
    </w:p>
    <w:p>
      <w:pPr>
        <w:pStyle w:val="1"/>
        <w:rPr>
          <w:rFonts w:cs="David" w:hint="cs"/>
        </w:rPr>
      </w:pPr>
      <w:r>
        <w:rPr>
          <w:rFonts w:cs="David" w:hint="cs"/>
          <w:rtl/>
        </w:rPr>
        <w:t>לתובעת נמסרה הודעה על סיום העסקתה לאחר שיעור שסיימה ללמד.</w:t>
      </w:r>
    </w:p>
    <w:p>
      <w:pPr>
        <w:pStyle w:val="1"/>
        <w:rPr>
          <w:rFonts w:cs="David" w:hint="cs"/>
        </w:rPr>
      </w:pPr>
      <w:r>
        <w:rPr>
          <w:rFonts w:cs="David" w:hint="cs"/>
          <w:rtl/>
        </w:rPr>
        <w:t xml:space="preserve">בנסיבות אלו - זכאית התובעת לקבלת פיצוי כספי בגובה 3 חודשי שכר בסך של 14,031 ₪. </w:t>
      </w:r>
    </w:p>
    <w:p>
      <w:pPr>
        <w:spacing w:before="240" w:line="300" w:lineRule="atLeast"/>
        <w:ind w:left="737" w:hanging="737"/>
        <w:outlineLvl w:val="0"/>
        <w:rPr>
          <w:rFonts w:hint="cs"/>
          <w:b/>
          <w:bCs/>
          <w:sz w:val="24"/>
          <w:szCs w:val="24"/>
          <w:u w:val="single"/>
          <w:rtl/>
        </w:rPr>
      </w:pPr>
    </w:p>
    <w:p>
      <w:pPr>
        <w:spacing w:before="240" w:line="300" w:lineRule="atLeast"/>
        <w:ind w:left="737" w:hanging="737"/>
        <w:outlineLvl w:val="0"/>
        <w:rPr>
          <w:rFonts w:hint="cs"/>
          <w:sz w:val="24"/>
          <w:szCs w:val="24"/>
          <w:rtl/>
        </w:rPr>
      </w:pPr>
      <w:r>
        <w:rPr>
          <w:rFonts w:hint="cs"/>
          <w:b/>
          <w:bCs/>
          <w:sz w:val="24"/>
          <w:szCs w:val="24"/>
          <w:u w:val="single"/>
          <w:rtl/>
        </w:rPr>
        <w:t>יא. סיכום:</w:t>
      </w:r>
    </w:p>
    <w:p>
      <w:pPr>
        <w:keepLines w:val="0"/>
        <w:numPr>
          <w:ilvl w:val="0"/>
          <w:numId w:val="2"/>
        </w:numPr>
        <w:spacing w:before="240" w:after="120" w:line="300" w:lineRule="atLeast"/>
        <w:ind w:right="-142"/>
        <w:outlineLvl w:val="0"/>
        <w:rPr>
          <w:rFonts w:hint="cs"/>
          <w:sz w:val="24"/>
          <w:szCs w:val="24"/>
        </w:rPr>
      </w:pPr>
      <w:r>
        <w:rPr>
          <w:rFonts w:hint="cs"/>
          <w:sz w:val="24"/>
          <w:szCs w:val="24"/>
          <w:rtl/>
        </w:rPr>
        <w:t xml:space="preserve">לאור האמור, בנפרד ו/או במצטבר, על הנתבעת לשלם לתובעת הסכומים כמפורט להלן:- </w:t>
      </w:r>
    </w:p>
    <w:p>
      <w:pPr>
        <w:keepLines w:val="0"/>
        <w:numPr>
          <w:ilvl w:val="1"/>
          <w:numId w:val="2"/>
        </w:numPr>
        <w:spacing w:before="240" w:after="120" w:line="300" w:lineRule="atLeast"/>
        <w:ind w:right="0"/>
        <w:outlineLvl w:val="0"/>
        <w:rPr>
          <w:rFonts w:hint="cs"/>
          <w:sz w:val="24"/>
          <w:szCs w:val="24"/>
        </w:rPr>
      </w:pPr>
      <w:bookmarkStart w:id="2" w:name="OLE_LINK3"/>
      <w:r>
        <w:rPr>
          <w:rFonts w:hint="cs"/>
          <w:sz w:val="24"/>
          <w:szCs w:val="24"/>
          <w:rtl/>
        </w:rPr>
        <w:t>בגין  פיצויי פיטורים:</w:t>
      </w:r>
      <w:r>
        <w:rPr>
          <w:rFonts w:hint="cs"/>
          <w:sz w:val="24"/>
          <w:szCs w:val="24"/>
          <w:rtl/>
        </w:rPr>
        <w:tab/>
      </w:r>
      <w:r>
        <w:rPr>
          <w:rFonts w:hint="cs"/>
          <w:sz w:val="24"/>
          <w:szCs w:val="24"/>
          <w:rtl/>
        </w:rPr>
        <w:tab/>
      </w:r>
      <w:r>
        <w:rPr>
          <w:rFonts w:hint="cs"/>
          <w:sz w:val="24"/>
          <w:szCs w:val="24"/>
          <w:rtl/>
        </w:rPr>
        <w:tab/>
      </w:r>
      <w:r>
        <w:rPr>
          <w:sz w:val="24"/>
          <w:szCs w:val="24"/>
          <w:rtl/>
        </w:rPr>
        <w:tab/>
      </w:r>
      <w:r>
        <w:rPr>
          <w:rFonts w:hint="cs"/>
          <w:sz w:val="24"/>
          <w:szCs w:val="24"/>
          <w:rtl/>
        </w:rPr>
        <w:t xml:space="preserve">             30,205 ש"ח</w:t>
      </w:r>
    </w:p>
    <w:p>
      <w:pPr>
        <w:keepLines w:val="0"/>
        <w:numPr>
          <w:ilvl w:val="1"/>
          <w:numId w:val="2"/>
        </w:numPr>
        <w:spacing w:before="240" w:after="120" w:line="300" w:lineRule="atLeast"/>
        <w:ind w:right="0"/>
        <w:outlineLvl w:val="0"/>
        <w:rPr>
          <w:rFonts w:hint="cs"/>
          <w:sz w:val="24"/>
          <w:szCs w:val="24"/>
        </w:rPr>
      </w:pPr>
      <w:r>
        <w:rPr>
          <w:rFonts w:hint="cs"/>
          <w:sz w:val="24"/>
          <w:szCs w:val="24"/>
          <w:rtl/>
        </w:rPr>
        <w:t>בגין הודעה מוקדמת:</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4,677 ש"ח</w:t>
      </w:r>
    </w:p>
    <w:p>
      <w:pPr>
        <w:keepLines w:val="0"/>
        <w:numPr>
          <w:ilvl w:val="1"/>
          <w:numId w:val="2"/>
        </w:numPr>
        <w:spacing w:before="240" w:after="120" w:line="300" w:lineRule="atLeast"/>
        <w:ind w:right="0"/>
        <w:outlineLvl w:val="0"/>
        <w:rPr>
          <w:rFonts w:hint="cs"/>
          <w:sz w:val="24"/>
          <w:szCs w:val="24"/>
        </w:rPr>
      </w:pPr>
      <w:r>
        <w:rPr>
          <w:rFonts w:hint="cs"/>
          <w:sz w:val="24"/>
          <w:szCs w:val="24"/>
          <w:rtl/>
        </w:rPr>
        <w:t>בגין דמי הבראה:</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 xml:space="preserve"> 3,832 ₪</w:t>
      </w:r>
    </w:p>
    <w:p>
      <w:pPr>
        <w:keepLines w:val="0"/>
        <w:numPr>
          <w:ilvl w:val="1"/>
          <w:numId w:val="2"/>
        </w:numPr>
        <w:spacing w:before="240" w:after="120" w:line="300" w:lineRule="atLeast"/>
        <w:ind w:right="0"/>
        <w:outlineLvl w:val="0"/>
        <w:rPr>
          <w:rFonts w:hint="cs"/>
          <w:sz w:val="24"/>
          <w:szCs w:val="24"/>
        </w:rPr>
      </w:pPr>
      <w:r>
        <w:rPr>
          <w:rFonts w:hint="cs"/>
          <w:sz w:val="24"/>
          <w:szCs w:val="24"/>
          <w:rtl/>
        </w:rPr>
        <w:t>בגין פנסיה:</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 xml:space="preserve"> 8,566 ₪ נטו</w:t>
      </w:r>
    </w:p>
    <w:p>
      <w:pPr>
        <w:keepLines w:val="0"/>
        <w:numPr>
          <w:ilvl w:val="1"/>
          <w:numId w:val="2"/>
        </w:numPr>
        <w:spacing w:before="240" w:after="120" w:line="300" w:lineRule="atLeast"/>
        <w:ind w:right="0"/>
        <w:outlineLvl w:val="0"/>
        <w:rPr>
          <w:rFonts w:hint="cs"/>
          <w:sz w:val="24"/>
          <w:szCs w:val="24"/>
        </w:rPr>
      </w:pPr>
      <w:r>
        <w:rPr>
          <w:rFonts w:hint="cs"/>
          <w:sz w:val="24"/>
          <w:szCs w:val="24"/>
          <w:rtl/>
        </w:rPr>
        <w:t>בגין קרן השתלמות:</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10,107 ₪</w:t>
      </w:r>
    </w:p>
    <w:p>
      <w:pPr>
        <w:keepLines w:val="0"/>
        <w:numPr>
          <w:ilvl w:val="1"/>
          <w:numId w:val="2"/>
        </w:numPr>
        <w:spacing w:before="240" w:after="120" w:line="300" w:lineRule="atLeast"/>
        <w:ind w:right="0"/>
        <w:outlineLvl w:val="0"/>
        <w:rPr>
          <w:rFonts w:hint="cs"/>
          <w:sz w:val="24"/>
          <w:szCs w:val="24"/>
        </w:rPr>
      </w:pPr>
      <w:r>
        <w:rPr>
          <w:rFonts w:hint="cs"/>
          <w:sz w:val="24"/>
          <w:szCs w:val="24"/>
          <w:rtl/>
        </w:rPr>
        <w:t>בגין חופשה:</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17,064 ש"ח</w:t>
      </w:r>
    </w:p>
    <w:p>
      <w:pPr>
        <w:keepLines w:val="0"/>
        <w:numPr>
          <w:ilvl w:val="1"/>
          <w:numId w:val="2"/>
        </w:numPr>
        <w:spacing w:before="240" w:after="120" w:line="300" w:lineRule="atLeast"/>
        <w:ind w:right="0"/>
        <w:outlineLvl w:val="0"/>
        <w:rPr>
          <w:rFonts w:hint="cs"/>
          <w:sz w:val="24"/>
          <w:szCs w:val="24"/>
        </w:rPr>
      </w:pPr>
      <w:r>
        <w:rPr>
          <w:rFonts w:hint="cs"/>
          <w:sz w:val="24"/>
          <w:szCs w:val="24"/>
          <w:rtl/>
        </w:rPr>
        <w:t>בגין פיטורים שלא כדין:</w:t>
      </w:r>
      <w:r>
        <w:rPr>
          <w:rFonts w:hint="cs"/>
          <w:sz w:val="24"/>
          <w:szCs w:val="24"/>
          <w:rtl/>
        </w:rPr>
        <w:tab/>
      </w:r>
      <w:r>
        <w:rPr>
          <w:rFonts w:hint="cs"/>
          <w:sz w:val="24"/>
          <w:szCs w:val="24"/>
          <w:rtl/>
        </w:rPr>
        <w:tab/>
      </w:r>
      <w:r>
        <w:rPr>
          <w:rFonts w:hint="cs"/>
          <w:sz w:val="24"/>
          <w:szCs w:val="24"/>
          <w:rtl/>
        </w:rPr>
        <w:tab/>
      </w:r>
      <w:r>
        <w:rPr>
          <w:rFonts w:hint="cs"/>
          <w:sz w:val="24"/>
          <w:szCs w:val="24"/>
          <w:rtl/>
        </w:rPr>
        <w:tab/>
        <w:t>14,031 ש"ח</w:t>
      </w:r>
    </w:p>
    <w:p>
      <w:pPr>
        <w:keepLines w:val="0"/>
        <w:numPr>
          <w:ilvl w:val="1"/>
          <w:numId w:val="2"/>
        </w:numPr>
        <w:spacing w:before="240" w:after="120" w:line="300" w:lineRule="atLeast"/>
        <w:ind w:right="0"/>
        <w:outlineLvl w:val="0"/>
        <w:rPr>
          <w:rFonts w:hint="cs"/>
          <w:sz w:val="24"/>
          <w:szCs w:val="24"/>
        </w:rPr>
      </w:pPr>
      <w:r>
        <w:rPr>
          <w:rFonts w:hint="cs"/>
          <w:sz w:val="24"/>
          <w:szCs w:val="24"/>
          <w:rtl/>
        </w:rPr>
        <w:t>בגין תלושים חסרים:</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5,000 ש"ח</w:t>
      </w:r>
    </w:p>
    <w:p>
      <w:pPr>
        <w:keepLines w:val="0"/>
        <w:numPr>
          <w:ilvl w:val="1"/>
          <w:numId w:val="2"/>
        </w:numPr>
        <w:spacing w:before="240" w:after="120" w:line="300" w:lineRule="atLeast"/>
        <w:ind w:right="0"/>
        <w:outlineLvl w:val="0"/>
        <w:rPr>
          <w:rFonts w:hint="cs"/>
          <w:sz w:val="24"/>
          <w:szCs w:val="24"/>
        </w:rPr>
      </w:pPr>
      <w:r>
        <w:rPr>
          <w:rFonts w:hint="cs"/>
          <w:sz w:val="24"/>
          <w:szCs w:val="24"/>
          <w:rtl/>
        </w:rPr>
        <w:t>בגין אי מסירת הודעה על תנאי ההעסקה:-</w:t>
      </w:r>
      <w:bookmarkEnd w:id="2"/>
      <w:r>
        <w:rPr>
          <w:rFonts w:hint="cs"/>
          <w:sz w:val="24"/>
          <w:szCs w:val="24"/>
          <w:rtl/>
        </w:rPr>
        <w:tab/>
      </w:r>
      <w:r>
        <w:rPr>
          <w:rFonts w:hint="cs"/>
          <w:sz w:val="24"/>
          <w:szCs w:val="24"/>
          <w:rtl/>
        </w:rPr>
        <w:tab/>
      </w:r>
      <w:r>
        <w:rPr>
          <w:rFonts w:hint="cs"/>
          <w:sz w:val="24"/>
          <w:szCs w:val="24"/>
          <w:u w:val="single"/>
          <w:rtl/>
        </w:rPr>
        <w:t>5,000 ש"ח</w:t>
      </w:r>
    </w:p>
    <w:p>
      <w:pPr>
        <w:keepLines w:val="0"/>
        <w:numPr>
          <w:ilvl w:val="1"/>
          <w:numId w:val="2"/>
        </w:numPr>
        <w:spacing w:before="240" w:after="120" w:line="300" w:lineRule="atLeast"/>
        <w:ind w:right="0"/>
        <w:outlineLvl w:val="0"/>
        <w:rPr>
          <w:rFonts w:hint="cs"/>
          <w:sz w:val="24"/>
          <w:szCs w:val="24"/>
        </w:rPr>
      </w:pPr>
      <w:r>
        <w:rPr>
          <w:rFonts w:hint="cs"/>
          <w:sz w:val="24"/>
          <w:szCs w:val="24"/>
          <w:rtl/>
        </w:rPr>
        <w:lastRenderedPageBreak/>
        <w:t>סה"כ:</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u w:val="double"/>
          <w:rtl/>
        </w:rPr>
        <w:t>98,482 ש"ח</w:t>
      </w:r>
    </w:p>
    <w:p>
      <w:pPr>
        <w:numPr>
          <w:ilvl w:val="0"/>
          <w:numId w:val="2"/>
        </w:numPr>
        <w:spacing w:before="240" w:line="360" w:lineRule="auto"/>
        <w:outlineLvl w:val="0"/>
        <w:rPr>
          <w:rFonts w:hint="cs"/>
          <w:b/>
          <w:bCs/>
          <w:sz w:val="24"/>
          <w:szCs w:val="24"/>
        </w:rPr>
      </w:pPr>
      <w:r>
        <w:rPr>
          <w:rFonts w:hint="cs"/>
          <w:sz w:val="24"/>
          <w:szCs w:val="24"/>
          <w:rtl/>
        </w:rPr>
        <w:t xml:space="preserve">אשר על כן, מבוקש בזאת מבית הדין הנכבד לזמן את הנתבעות לדין ולחייבן לשלם לתובעת סך כולל של </w:t>
      </w:r>
      <w:r>
        <w:rPr>
          <w:rFonts w:hint="cs"/>
          <w:b/>
          <w:bCs/>
          <w:sz w:val="24"/>
          <w:szCs w:val="24"/>
          <w:u w:val="single"/>
          <w:rtl/>
        </w:rPr>
        <w:t>98,482 ₪</w:t>
      </w:r>
      <w:r>
        <w:rPr>
          <w:rFonts w:hint="cs"/>
          <w:sz w:val="24"/>
          <w:szCs w:val="24"/>
          <w:rtl/>
        </w:rPr>
        <w:t xml:space="preserve"> בתוספת הפרשי הצמדה וריבית חוקית בצירוף שכ"ט עורך דין, הוצאות משפט ומע"מ.</w:t>
      </w:r>
      <w:r>
        <w:rPr>
          <w:rFonts w:hint="cs"/>
          <w:b/>
          <w:bCs/>
          <w:sz w:val="24"/>
          <w:szCs w:val="24"/>
          <w:rtl/>
        </w:rPr>
        <w:tab/>
      </w:r>
    </w:p>
    <w:p>
      <w:pPr>
        <w:spacing w:before="240" w:line="360" w:lineRule="auto"/>
        <w:ind w:left="879"/>
        <w:outlineLvl w:val="0"/>
        <w:rPr>
          <w:b/>
          <w:bCs/>
          <w:sz w:val="24"/>
          <w:szCs w:val="24"/>
          <w:rtl/>
        </w:rPr>
      </w:pPr>
      <w:r>
        <w:rPr>
          <w:b/>
          <w:bCs/>
          <w:sz w:val="24"/>
          <w:szCs w:val="24"/>
          <w:rtl/>
        </w:rPr>
        <w:tab/>
      </w:r>
      <w:r>
        <w:rPr>
          <w:b/>
          <w:bCs/>
          <w:sz w:val="24"/>
          <w:szCs w:val="24"/>
          <w:rtl/>
        </w:rPr>
        <w:tab/>
      </w:r>
    </w:p>
    <w:p>
      <w:pPr>
        <w:spacing w:before="240" w:line="360" w:lineRule="auto"/>
        <w:ind w:left="879"/>
        <w:outlineLvl w:val="0"/>
        <w:rPr>
          <w:rFonts w:hint="cs"/>
          <w:b/>
          <w:bCs/>
          <w:sz w:val="24"/>
          <w:szCs w:val="24"/>
          <w:rtl/>
        </w:rPr>
      </w:pP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rFonts w:hint="cs"/>
          <w:b/>
          <w:bCs/>
          <w:sz w:val="24"/>
          <w:szCs w:val="24"/>
          <w:rtl/>
        </w:rPr>
        <w:t>________________</w:t>
      </w:r>
      <w:r>
        <w:rPr>
          <w:b/>
          <w:bCs/>
          <w:sz w:val="24"/>
          <w:szCs w:val="24"/>
          <w:rtl/>
        </w:rPr>
        <w:tab/>
      </w:r>
      <w:r>
        <w:rPr>
          <w:b/>
          <w:bCs/>
          <w:sz w:val="24"/>
          <w:szCs w:val="24"/>
          <w:rtl/>
        </w:rPr>
        <w:tab/>
      </w:r>
    </w:p>
    <w:sectPr>
      <w:headerReference w:type="default" r:id="rId8"/>
      <w:footerReference w:type="default" r:id="rId9"/>
      <w:headerReference w:type="first" r:id="rId10"/>
      <w:footerReference w:type="first" r:id="rId11"/>
      <w:type w:val="continuous"/>
      <w:pgSz w:w="11907" w:h="16840" w:code="9"/>
      <w:pgMar w:top="1418" w:right="1701" w:bottom="1242" w:left="1560" w:header="425" w:footer="17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c"/>
      <w:framePr w:w="79" w:h="15961" w:wrap="around" w:x="486" w:y="285"/>
      <w:rPr>
        <w:rtl/>
      </w:rPr>
    </w:pPr>
  </w:p>
  <w:p>
    <w:pPr>
      <w:pStyle w:val="ac"/>
      <w:framePr w:w="79" w:h="15961" w:wrap="around" w:x="11562" w:y="285"/>
      <w:rPr>
        <w:rtl/>
      </w:rPr>
    </w:pPr>
  </w:p>
  <w:tbl>
    <w:tblPr>
      <w:bidiVisual/>
      <w:tblW w:w="0" w:type="auto"/>
      <w:tblInd w:w="-1344" w:type="dxa"/>
      <w:tblLayout w:type="fixed"/>
      <w:tblCellMar>
        <w:left w:w="28" w:type="dxa"/>
        <w:right w:w="28" w:type="dxa"/>
      </w:tblCellMar>
      <w:tblLook w:val="0000" w:firstRow="0" w:lastRow="0" w:firstColumn="0" w:lastColumn="0" w:noHBand="0" w:noVBand="0"/>
    </w:tblPr>
    <w:tblGrid>
      <w:gridCol w:w="6049"/>
      <w:gridCol w:w="5166"/>
    </w:tblGrid>
    <w:tr>
      <w:tblPrEx>
        <w:tblCellMar>
          <w:top w:w="0" w:type="dxa"/>
          <w:bottom w:w="0" w:type="dxa"/>
        </w:tblCellMar>
      </w:tblPrEx>
      <w:tc>
        <w:tcPr>
          <w:tcW w:w="6049" w:type="dxa"/>
        </w:tcPr>
        <w:p>
          <w:pPr>
            <w:pStyle w:val="a8"/>
            <w:bidi w:val="0"/>
            <w:jc w:val="right"/>
            <w:rPr>
              <w:spacing w:val="-6"/>
              <w:szCs w:val="20"/>
              <w:rtl/>
            </w:rPr>
          </w:pPr>
        </w:p>
      </w:tc>
      <w:tc>
        <w:tcPr>
          <w:tcW w:w="5166" w:type="dxa"/>
        </w:tcPr>
        <w:p>
          <w:pPr>
            <w:pStyle w:val="a8"/>
            <w:bidi w:val="0"/>
            <w:ind w:right="-1247"/>
            <w:jc w:val="right"/>
            <w:rPr>
              <w:rFonts w:ascii="Book Antiqua" w:hAnsi="Book Antiqua"/>
              <w:spacing w:val="-8"/>
              <w:position w:val="-16"/>
              <w:sz w:val="16"/>
              <w:szCs w:val="14"/>
              <w:rtl/>
            </w:rPr>
          </w:pPr>
        </w:p>
      </w:tc>
    </w:tr>
  </w:tbl>
  <w:p>
    <w:pPr>
      <w:pStyle w:val="a8"/>
      <w:spacing w:line="240" w:lineRule="exact"/>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8"/>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jc w:val="center"/>
      <w:rPr>
        <w:rtl/>
      </w:rPr>
    </w:pPr>
    <w:r>
      <w:rPr>
        <w:rtl/>
      </w:rPr>
      <w:t>-</w:t>
    </w:r>
    <w:r>
      <w:rPr>
        <w:rStyle w:val="a9"/>
      </w:rPr>
      <w:fldChar w:fldCharType="begin"/>
    </w:r>
    <w:r>
      <w:rPr>
        <w:rStyle w:val="a9"/>
      </w:rPr>
      <w:instrText xml:space="preserve"> PAGE </w:instrText>
    </w:r>
    <w:r>
      <w:rPr>
        <w:rStyle w:val="a9"/>
      </w:rPr>
      <w:fldChar w:fldCharType="separate"/>
    </w:r>
    <w:r>
      <w:rPr>
        <w:rStyle w:val="a9"/>
        <w:noProof/>
        <w:rtl/>
      </w:rPr>
      <w:t>6</w:t>
    </w:r>
    <w:r>
      <w:rPr>
        <w:rStyle w:val="a9"/>
      </w:rPr>
      <w:fldChar w:fldCharType="end"/>
    </w:r>
    <w:r>
      <w:rPr>
        <w:rStyle w:val="a9"/>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c"/>
      <w:framePr w:w="79" w:h="15961" w:wrap="around" w:x="11565" w:y="331"/>
      <w:rPr>
        <w:rtl/>
      </w:rPr>
    </w:pPr>
  </w:p>
  <w:p>
    <w:pPr>
      <w:pStyle w:val="ac"/>
      <w:framePr w:w="79" w:h="15961" w:wrap="around" w:x="480" w:y="361"/>
      <w:rPr>
        <w:rtl/>
      </w:rPr>
    </w:pPr>
  </w:p>
  <w:p>
    <w:pPr>
      <w:pStyle w:val="ab"/>
      <w:framePr w:wrap="around"/>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08"/>
      <w:lvlJc w:val="right"/>
      <w:pPr>
        <w:ind w:left="709" w:hanging="708"/>
      </w:pPr>
      <w:rPr>
        <w:rFonts w:hAnsi="Miriam" w:cs="Miriam" w:hint="default"/>
        <w:b/>
        <w:i w:val="0"/>
        <w:sz w:val="22"/>
      </w:rPr>
    </w:lvl>
    <w:lvl w:ilvl="1">
      <w:start w:val="1"/>
      <w:numFmt w:val="decimal"/>
      <w:lvlText w:val="%1.%2."/>
      <w:legacy w:legacy="1" w:legacySpace="0" w:legacyIndent="708"/>
      <w:lvlJc w:val="right"/>
      <w:pPr>
        <w:ind w:left="1418" w:hanging="708"/>
      </w:pPr>
    </w:lvl>
    <w:lvl w:ilvl="2">
      <w:start w:val="1"/>
      <w:numFmt w:val="decimal"/>
      <w:lvlText w:val="%1.%2.%3."/>
      <w:legacy w:legacy="1" w:legacySpace="0" w:legacyIndent="708"/>
      <w:lvlJc w:val="right"/>
      <w:pPr>
        <w:ind w:left="2127" w:hanging="708"/>
      </w:pPr>
    </w:lvl>
    <w:lvl w:ilvl="3">
      <w:start w:val="1"/>
      <w:numFmt w:val="decimal"/>
      <w:lvlText w:val="%1.%2.%3.%4."/>
      <w:legacy w:legacy="1" w:legacySpace="0" w:legacyIndent="708"/>
      <w:lvlJc w:val="right"/>
      <w:pPr>
        <w:ind w:left="2835" w:hanging="708"/>
      </w:pPr>
    </w:lvl>
    <w:lvl w:ilvl="4">
      <w:start w:val="1"/>
      <w:numFmt w:val="decimal"/>
      <w:pStyle w:val="5"/>
      <w:lvlText w:val="%1.%2.%3.%4.%5."/>
      <w:legacy w:legacy="1" w:legacySpace="0" w:legacyIndent="708"/>
      <w:lvlJc w:val="right"/>
      <w:pPr>
        <w:ind w:left="3540" w:hanging="708"/>
      </w:pPr>
    </w:lvl>
    <w:lvl w:ilvl="5">
      <w:start w:val="1"/>
      <w:numFmt w:val="decimal"/>
      <w:pStyle w:val="6"/>
      <w:lvlText w:val="%1.%2.%3.%4.%5.%6."/>
      <w:legacy w:legacy="1" w:legacySpace="0" w:legacyIndent="708"/>
      <w:lvlJc w:val="center"/>
      <w:pPr>
        <w:ind w:left="4248" w:hanging="708"/>
      </w:pPr>
    </w:lvl>
    <w:lvl w:ilvl="6">
      <w:start w:val="1"/>
      <w:numFmt w:val="decimal"/>
      <w:pStyle w:val="7"/>
      <w:lvlText w:val="%1.%2.%3.%4.%5.%6.%7."/>
      <w:legacy w:legacy="1" w:legacySpace="0" w:legacyIndent="708"/>
      <w:lvlJc w:val="center"/>
      <w:pPr>
        <w:ind w:left="4956" w:hanging="708"/>
      </w:pPr>
    </w:lvl>
    <w:lvl w:ilvl="7">
      <w:start w:val="1"/>
      <w:numFmt w:val="decimal"/>
      <w:pStyle w:val="8"/>
      <w:lvlText w:val="%1.%2.%3.%4.%5.%6.%7.%8."/>
      <w:legacy w:legacy="1" w:legacySpace="0" w:legacyIndent="708"/>
      <w:lvlJc w:val="center"/>
      <w:pPr>
        <w:ind w:left="5664" w:hanging="708"/>
      </w:pPr>
    </w:lvl>
    <w:lvl w:ilvl="8">
      <w:start w:val="1"/>
      <w:numFmt w:val="decimal"/>
      <w:pStyle w:val="9"/>
      <w:lvlText w:val="%1.%2.%3.%4.%5.%6.%7.%8.%9."/>
      <w:legacy w:legacy="1" w:legacySpace="0" w:legacyIndent="708"/>
      <w:lvlJc w:val="center"/>
      <w:pPr>
        <w:ind w:left="6372" w:hanging="708"/>
      </w:pPr>
    </w:lvl>
  </w:abstractNum>
  <w:abstractNum w:abstractNumId="1" w15:restartNumberingAfterBreak="0">
    <w:nsid w:val="02BD363D"/>
    <w:multiLevelType w:val="hybridMultilevel"/>
    <w:tmpl w:val="49DE6296"/>
    <w:lvl w:ilvl="0" w:tplc="0809000F">
      <w:start w:val="1"/>
      <w:numFmt w:val="decimal"/>
      <w:lvlText w:val="%1."/>
      <w:lvlJc w:val="left"/>
      <w:pPr>
        <w:ind w:left="720" w:hanging="360"/>
      </w:pPr>
      <w:rPr>
        <w:rFonts w:hint="default"/>
      </w:rPr>
    </w:lvl>
    <w:lvl w:ilvl="1" w:tplc="6D62B0E6">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5667"/>
    <w:multiLevelType w:val="hybridMultilevel"/>
    <w:tmpl w:val="666468F0"/>
    <w:lvl w:ilvl="0" w:tplc="C5D8794A">
      <w:start w:val="3"/>
      <w:numFmt w:val="decimal"/>
      <w:lvlText w:val="%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3" w15:restartNumberingAfterBreak="0">
    <w:nsid w:val="16557E4F"/>
    <w:multiLevelType w:val="hybridMultilevel"/>
    <w:tmpl w:val="B8088BBC"/>
    <w:lvl w:ilvl="0" w:tplc="A0A2DFEA">
      <w:start w:val="4"/>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85C8C"/>
    <w:multiLevelType w:val="multilevel"/>
    <w:tmpl w:val="040D001F"/>
    <w:lvl w:ilvl="0">
      <w:start w:val="1"/>
      <w:numFmt w:val="decimal"/>
      <w:lvlText w:val="%1."/>
      <w:lvlJc w:val="center"/>
      <w:pPr>
        <w:tabs>
          <w:tab w:val="num" w:pos="648"/>
        </w:tabs>
        <w:ind w:left="360" w:hanging="72"/>
      </w:pPr>
    </w:lvl>
    <w:lvl w:ilvl="1">
      <w:start w:val="1"/>
      <w:numFmt w:val="decimal"/>
      <w:lvlText w:val="%1.%2."/>
      <w:lvlJc w:val="center"/>
      <w:pPr>
        <w:tabs>
          <w:tab w:val="num" w:pos="792"/>
        </w:tabs>
        <w:ind w:left="792" w:hanging="432"/>
      </w:pPr>
    </w:lvl>
    <w:lvl w:ilvl="2">
      <w:start w:val="1"/>
      <w:numFmt w:val="decimal"/>
      <w:lvlText w:val="%1.%2.%3."/>
      <w:lvlJc w:val="center"/>
      <w:pPr>
        <w:tabs>
          <w:tab w:val="num" w:pos="1224"/>
        </w:tabs>
        <w:ind w:left="1224" w:hanging="504"/>
      </w:pPr>
    </w:lvl>
    <w:lvl w:ilvl="3">
      <w:start w:val="1"/>
      <w:numFmt w:val="decimal"/>
      <w:lvlText w:val="%1.%2.%3.%4."/>
      <w:lvlJc w:val="center"/>
      <w:pPr>
        <w:tabs>
          <w:tab w:val="num" w:pos="1728"/>
        </w:tabs>
        <w:ind w:left="1728" w:hanging="648"/>
      </w:pPr>
    </w:lvl>
    <w:lvl w:ilvl="4">
      <w:start w:val="1"/>
      <w:numFmt w:val="decimal"/>
      <w:lvlText w:val="%1.%2.%3.%4.%5."/>
      <w:lvlJc w:val="center"/>
      <w:pPr>
        <w:tabs>
          <w:tab w:val="num" w:pos="2232"/>
        </w:tabs>
        <w:ind w:left="2232" w:hanging="792"/>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5" w15:restartNumberingAfterBreak="0">
    <w:nsid w:val="2B162CB3"/>
    <w:multiLevelType w:val="hybridMultilevel"/>
    <w:tmpl w:val="75F82B6C"/>
    <w:lvl w:ilvl="0" w:tplc="5F2EC2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B5CE1"/>
    <w:multiLevelType w:val="hybridMultilevel"/>
    <w:tmpl w:val="FD52BC28"/>
    <w:lvl w:ilvl="0" w:tplc="5B649888">
      <w:start w:val="1"/>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C274846"/>
    <w:multiLevelType w:val="multilevel"/>
    <w:tmpl w:val="A43C1B5E"/>
    <w:lvl w:ilvl="0">
      <w:start w:val="1"/>
      <w:numFmt w:val="decimal"/>
      <w:pStyle w:val="1"/>
      <w:lvlText w:val="%1."/>
      <w:lvlJc w:val="left"/>
      <w:pPr>
        <w:tabs>
          <w:tab w:val="num" w:pos="879"/>
        </w:tabs>
        <w:ind w:left="879" w:hanging="737"/>
      </w:pPr>
      <w:rPr>
        <w:rFonts w:cs="David" w:hint="default"/>
        <w:bCs/>
        <w:iCs w:val="0"/>
        <w:szCs w:val="22"/>
        <w:u w:val="none"/>
        <w:lang w:val="x-none" w:bidi="he-IL"/>
      </w:rPr>
    </w:lvl>
    <w:lvl w:ilvl="1">
      <w:start w:val="1"/>
      <w:numFmt w:val="decimal"/>
      <w:pStyle w:val="2"/>
      <w:lvlText w:val="%1.%2."/>
      <w:lvlJc w:val="left"/>
      <w:pPr>
        <w:tabs>
          <w:tab w:val="num" w:pos="1474"/>
        </w:tabs>
        <w:ind w:left="1474" w:right="1474" w:hanging="737"/>
      </w:pPr>
      <w:rPr>
        <w:rFonts w:cs="David" w:hint="default"/>
        <w:bCs/>
        <w:iCs w:val="0"/>
        <w:color w:val="auto"/>
        <w:szCs w:val="22"/>
        <w:u w:val="none"/>
        <w:lang w:val="x-none" w:bidi="he-IL"/>
      </w:rPr>
    </w:lvl>
    <w:lvl w:ilvl="2">
      <w:start w:val="1"/>
      <w:numFmt w:val="decimal"/>
      <w:pStyle w:val="3"/>
      <w:lvlText w:val="%1.%2.%3."/>
      <w:lvlJc w:val="left"/>
      <w:pPr>
        <w:tabs>
          <w:tab w:val="num" w:pos="2211"/>
        </w:tabs>
        <w:ind w:left="2211" w:right="2211" w:hanging="737"/>
      </w:pPr>
      <w:rPr>
        <w:rFonts w:cs="David" w:hint="default"/>
        <w:bCs/>
        <w:iCs w:val="0"/>
        <w:szCs w:val="22"/>
        <w:u w:val="none"/>
      </w:rPr>
    </w:lvl>
    <w:lvl w:ilvl="3">
      <w:start w:val="1"/>
      <w:numFmt w:val="decimal"/>
      <w:pStyle w:val="4"/>
      <w:lvlText w:val="%1.%2.%3.%4."/>
      <w:lvlJc w:val="left"/>
      <w:pPr>
        <w:tabs>
          <w:tab w:val="num" w:pos="2948"/>
        </w:tabs>
        <w:ind w:left="2948" w:right="2948" w:hanging="737"/>
      </w:pPr>
      <w:rPr>
        <w:rFonts w:cs="David" w:hint="default"/>
        <w:bCs/>
        <w:iCs w:val="0"/>
        <w:szCs w:val="22"/>
        <w:u w:val="none"/>
      </w:rPr>
    </w:lvl>
    <w:lvl w:ilvl="4">
      <w:start w:val="1"/>
      <w:numFmt w:val="decimal"/>
      <w:lvlText w:val="%1.%2.%3.%4.%5."/>
      <w:lvlJc w:val="left"/>
      <w:pPr>
        <w:tabs>
          <w:tab w:val="num" w:pos="4819"/>
        </w:tabs>
        <w:ind w:left="4819" w:right="4819" w:hanging="1588"/>
      </w:pPr>
      <w:rPr>
        <w:rFonts w:cs="Courier New" w:hint="default"/>
        <w:bCs/>
        <w:iCs w:val="0"/>
        <w:szCs w:val="20"/>
      </w:rPr>
    </w:lvl>
    <w:lvl w:ilvl="5">
      <w:start w:val="1"/>
      <w:numFmt w:val="decimal"/>
      <w:lvlText w:val="%1.%2.%3.%4.%5.%6."/>
      <w:lvlJc w:val="center"/>
      <w:pPr>
        <w:tabs>
          <w:tab w:val="num" w:pos="2738"/>
        </w:tabs>
        <w:ind w:left="2738" w:right="2738" w:hanging="941"/>
      </w:pPr>
    </w:lvl>
    <w:lvl w:ilvl="6">
      <w:start w:val="1"/>
      <w:numFmt w:val="decimal"/>
      <w:lvlText w:val="%1.%2.%3.%4.%5.%6.%7."/>
      <w:lvlJc w:val="center"/>
      <w:pPr>
        <w:tabs>
          <w:tab w:val="num" w:pos="3237"/>
        </w:tabs>
        <w:ind w:left="3237" w:right="3237" w:hanging="1077"/>
      </w:pPr>
    </w:lvl>
    <w:lvl w:ilvl="7">
      <w:start w:val="1"/>
      <w:numFmt w:val="decimal"/>
      <w:lvlText w:val="%1.%2.%3.%4.%5.%6.%7.%8."/>
      <w:lvlJc w:val="center"/>
      <w:pPr>
        <w:tabs>
          <w:tab w:val="num" w:pos="3742"/>
        </w:tabs>
        <w:ind w:left="3742" w:right="3742" w:hanging="1225"/>
      </w:pPr>
    </w:lvl>
    <w:lvl w:ilvl="8">
      <w:start w:val="1"/>
      <w:numFmt w:val="decimal"/>
      <w:lvlText w:val="%1.%2.%3.%4.%5.%6.%7.%8.%9."/>
      <w:lvlJc w:val="center"/>
      <w:pPr>
        <w:tabs>
          <w:tab w:val="num" w:pos="4320"/>
        </w:tabs>
        <w:ind w:left="4320" w:right="4320" w:hanging="1440"/>
      </w:pPr>
    </w:lvl>
  </w:abstractNum>
  <w:abstractNum w:abstractNumId="8" w15:restartNumberingAfterBreak="0">
    <w:nsid w:val="4DE347EF"/>
    <w:multiLevelType w:val="hybridMultilevel"/>
    <w:tmpl w:val="2DFC8CEC"/>
    <w:lvl w:ilvl="0" w:tplc="C30C19B2">
      <w:start w:val="6"/>
      <w:numFmt w:val="bullet"/>
      <w:lvlText w:val=""/>
      <w:lvlJc w:val="left"/>
      <w:pPr>
        <w:ind w:left="1239" w:hanging="360"/>
      </w:pPr>
      <w:rPr>
        <w:rFonts w:ascii="Symbol" w:eastAsia="Times New Roman" w:hAnsi="Symbol" w:cs="David" w:hint="default"/>
        <w:sz w:val="24"/>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9" w15:restartNumberingAfterBreak="0">
    <w:nsid w:val="4F152CA7"/>
    <w:multiLevelType w:val="hybridMultilevel"/>
    <w:tmpl w:val="92EA89D4"/>
    <w:lvl w:ilvl="0" w:tplc="43E2C24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08366A2"/>
    <w:multiLevelType w:val="hybridMultilevel"/>
    <w:tmpl w:val="A4CEFA7E"/>
    <w:lvl w:ilvl="0" w:tplc="7994B378">
      <w:start w:val="3"/>
      <w:numFmt w:val="decimal"/>
      <w:lvlText w:val="%1."/>
      <w:lvlJc w:val="left"/>
      <w:pPr>
        <w:ind w:left="1834" w:hanging="360"/>
      </w:pPr>
      <w:rPr>
        <w:rFonts w:hint="default"/>
        <w:b w:val="0"/>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11" w15:restartNumberingAfterBreak="0">
    <w:nsid w:val="511B4F34"/>
    <w:multiLevelType w:val="hybridMultilevel"/>
    <w:tmpl w:val="90CA2E48"/>
    <w:lvl w:ilvl="0" w:tplc="8C8AECAE">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52380786"/>
    <w:multiLevelType w:val="hybridMultilevel"/>
    <w:tmpl w:val="E22A10D6"/>
    <w:lvl w:ilvl="0" w:tplc="C03078AC">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5B8C4BDC"/>
    <w:multiLevelType w:val="hybridMultilevel"/>
    <w:tmpl w:val="DF706BEC"/>
    <w:lvl w:ilvl="0" w:tplc="4A20360C">
      <w:start w:val="3"/>
      <w:numFmt w:val="decimal"/>
      <w:lvlText w:val="%1."/>
      <w:lvlJc w:val="left"/>
      <w:pPr>
        <w:ind w:left="1834" w:hanging="360"/>
      </w:pPr>
      <w:rPr>
        <w:rFonts w:hint="default"/>
        <w:b w:val="0"/>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14" w15:restartNumberingAfterBreak="0">
    <w:nsid w:val="5DF958FC"/>
    <w:multiLevelType w:val="hybridMultilevel"/>
    <w:tmpl w:val="3B70A1CC"/>
    <w:lvl w:ilvl="0" w:tplc="9F7CCE8A">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7CF3460"/>
    <w:multiLevelType w:val="hybridMultilevel"/>
    <w:tmpl w:val="641AA3AA"/>
    <w:lvl w:ilvl="0" w:tplc="9E7C7F0C">
      <w:start w:val="4"/>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6C30A5"/>
    <w:multiLevelType w:val="multilevel"/>
    <w:tmpl w:val="A08CC3A2"/>
    <w:lvl w:ilvl="0">
      <w:start w:val="1"/>
      <w:numFmt w:val="decimal"/>
      <w:lvlText w:val="%1."/>
      <w:lvlJc w:val="right"/>
      <w:pPr>
        <w:tabs>
          <w:tab w:val="num" w:pos="709"/>
        </w:tabs>
        <w:ind w:left="709" w:hanging="709"/>
      </w:pPr>
    </w:lvl>
    <w:lvl w:ilvl="1">
      <w:start w:val="1"/>
      <w:numFmt w:val="decimal"/>
      <w:lvlText w:val="%1.%2."/>
      <w:lvlJc w:val="right"/>
      <w:pPr>
        <w:tabs>
          <w:tab w:val="num" w:pos="1418"/>
        </w:tabs>
        <w:ind w:left="1418" w:hanging="709"/>
      </w:pPr>
    </w:lvl>
    <w:lvl w:ilvl="2">
      <w:start w:val="1"/>
      <w:numFmt w:val="decimal"/>
      <w:lvlText w:val="%1.%2.%3."/>
      <w:lvlJc w:val="center"/>
      <w:pPr>
        <w:tabs>
          <w:tab w:val="num" w:pos="1224"/>
        </w:tabs>
        <w:ind w:left="1224" w:hanging="504"/>
      </w:pPr>
    </w:lvl>
    <w:lvl w:ilvl="3">
      <w:start w:val="1"/>
      <w:numFmt w:val="decimal"/>
      <w:lvlText w:val="%1.%2.%3.%4."/>
      <w:lvlJc w:val="center"/>
      <w:pPr>
        <w:tabs>
          <w:tab w:val="num" w:pos="1728"/>
        </w:tabs>
        <w:ind w:left="1728" w:hanging="648"/>
      </w:pPr>
    </w:lvl>
    <w:lvl w:ilvl="4">
      <w:start w:val="1"/>
      <w:numFmt w:val="decimal"/>
      <w:lvlText w:val="%1.%2.%3.%4.%5."/>
      <w:lvlJc w:val="center"/>
      <w:pPr>
        <w:tabs>
          <w:tab w:val="num" w:pos="2232"/>
        </w:tabs>
        <w:ind w:left="2232" w:hanging="792"/>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17" w15:restartNumberingAfterBreak="0">
    <w:nsid w:val="79AE5AFA"/>
    <w:multiLevelType w:val="hybridMultilevel"/>
    <w:tmpl w:val="C0C028B4"/>
    <w:lvl w:ilvl="0" w:tplc="A9E8B6C8">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7FD56490"/>
    <w:multiLevelType w:val="hybridMultilevel"/>
    <w:tmpl w:val="036E0136"/>
    <w:lvl w:ilvl="0" w:tplc="A614D042">
      <w:start w:val="1"/>
      <w:numFmt w:val="hebrew1"/>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num w:numId="1">
    <w:abstractNumId w:val="0"/>
  </w:num>
  <w:num w:numId="2">
    <w:abstractNumId w:val="7"/>
  </w:num>
  <w:num w:numId="3">
    <w:abstractNumId w:val="7"/>
  </w:num>
  <w:num w:numId="4">
    <w:abstractNumId w:val="7"/>
  </w:num>
  <w:num w:numId="5">
    <w:abstractNumId w:val="7"/>
  </w:num>
  <w:num w:numId="6">
    <w:abstractNumId w:val="7"/>
  </w:num>
  <w:num w:numId="7">
    <w:abstractNumId w:val="4"/>
  </w:num>
  <w:num w:numId="8">
    <w:abstractNumId w:val="15"/>
  </w:num>
  <w:num w:numId="9">
    <w:abstractNumId w:val="3"/>
  </w:num>
  <w:num w:numId="10">
    <w:abstractNumId w:val="12"/>
  </w:num>
  <w:num w:numId="11">
    <w:abstractNumId w:val="6"/>
  </w:num>
  <w:num w:numId="12">
    <w:abstractNumId w:val="1"/>
  </w:num>
  <w:num w:numId="13">
    <w:abstractNumId w:val="16"/>
  </w:num>
  <w:num w:numId="14">
    <w:abstractNumId w:val="13"/>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290DBB-75C1-4558-91CE-FE24BDFC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eepLines/>
      <w:bidi/>
      <w:spacing w:before="120"/>
      <w:jc w:val="both"/>
    </w:pPr>
    <w:rPr>
      <w:rFonts w:ascii="Arial" w:hAnsi="Arial" w:cs="David"/>
      <w:szCs w:val="26"/>
    </w:rPr>
  </w:style>
  <w:style w:type="paragraph" w:styleId="1">
    <w:name w:val="heading 1"/>
    <w:basedOn w:val="a"/>
    <w:link w:val="10"/>
    <w:qFormat/>
    <w:pPr>
      <w:numPr>
        <w:numId w:val="2"/>
      </w:numPr>
      <w:spacing w:before="240" w:line="360" w:lineRule="auto"/>
      <w:outlineLvl w:val="0"/>
    </w:pPr>
    <w:rPr>
      <w:rFonts w:cs="Times New Roman"/>
      <w:sz w:val="24"/>
      <w:szCs w:val="24"/>
      <w:lang w:val="x-none" w:eastAsia="x-none"/>
    </w:rPr>
  </w:style>
  <w:style w:type="paragraph" w:styleId="2">
    <w:name w:val="heading 2"/>
    <w:basedOn w:val="a"/>
    <w:link w:val="20"/>
    <w:qFormat/>
    <w:pPr>
      <w:numPr>
        <w:ilvl w:val="1"/>
        <w:numId w:val="2"/>
      </w:numPr>
      <w:spacing w:before="240" w:line="360" w:lineRule="auto"/>
      <w:outlineLvl w:val="1"/>
    </w:pPr>
    <w:rPr>
      <w:rFonts w:cs="Times New Roman"/>
      <w:sz w:val="24"/>
      <w:szCs w:val="24"/>
      <w:lang w:val="x-none" w:eastAsia="x-none"/>
    </w:rPr>
  </w:style>
  <w:style w:type="paragraph" w:styleId="3">
    <w:name w:val="heading 3"/>
    <w:basedOn w:val="a"/>
    <w:qFormat/>
    <w:pPr>
      <w:numPr>
        <w:ilvl w:val="2"/>
        <w:numId w:val="2"/>
      </w:numPr>
      <w:spacing w:before="240" w:line="360" w:lineRule="auto"/>
      <w:outlineLvl w:val="2"/>
    </w:pPr>
    <w:rPr>
      <w:szCs w:val="24"/>
    </w:rPr>
  </w:style>
  <w:style w:type="paragraph" w:styleId="4">
    <w:name w:val="heading 4"/>
    <w:basedOn w:val="a"/>
    <w:qFormat/>
    <w:pPr>
      <w:numPr>
        <w:ilvl w:val="3"/>
        <w:numId w:val="2"/>
      </w:numPr>
      <w:spacing w:before="240"/>
      <w:outlineLvl w:val="3"/>
    </w:pPr>
  </w:style>
  <w:style w:type="paragraph" w:styleId="5">
    <w:name w:val="heading 5"/>
    <w:basedOn w:val="a"/>
    <w:qFormat/>
    <w:pPr>
      <w:numPr>
        <w:ilvl w:val="4"/>
        <w:numId w:val="1"/>
      </w:numPr>
      <w:spacing w:after="120"/>
      <w:outlineLvl w:val="4"/>
    </w:pPr>
  </w:style>
  <w:style w:type="paragraph" w:styleId="6">
    <w:name w:val="heading 6"/>
    <w:basedOn w:val="a"/>
    <w:qFormat/>
    <w:pPr>
      <w:numPr>
        <w:ilvl w:val="5"/>
        <w:numId w:val="1"/>
      </w:numPr>
      <w:spacing w:after="120"/>
      <w:outlineLvl w:val="5"/>
    </w:pPr>
  </w:style>
  <w:style w:type="paragraph" w:styleId="7">
    <w:name w:val="heading 7"/>
    <w:basedOn w:val="a"/>
    <w:qFormat/>
    <w:pPr>
      <w:numPr>
        <w:ilvl w:val="6"/>
        <w:numId w:val="1"/>
      </w:numPr>
      <w:spacing w:after="120"/>
      <w:outlineLvl w:val="6"/>
    </w:pPr>
  </w:style>
  <w:style w:type="paragraph" w:styleId="8">
    <w:name w:val="heading 8"/>
    <w:basedOn w:val="a"/>
    <w:qFormat/>
    <w:pPr>
      <w:numPr>
        <w:ilvl w:val="7"/>
        <w:numId w:val="1"/>
      </w:numPr>
      <w:spacing w:after="120"/>
      <w:outlineLvl w:val="7"/>
    </w:pPr>
  </w:style>
  <w:style w:type="paragraph" w:styleId="9">
    <w:name w:val="heading 9"/>
    <w:basedOn w:val="a"/>
    <w:qFormat/>
    <w:pPr>
      <w:numPr>
        <w:ilvl w:val="8"/>
        <w:numId w:val="1"/>
      </w:numPr>
      <w:spacing w:after="12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tyle>
  <w:style w:type="paragraph" w:customStyle="1" w:styleId="11">
    <w:name w:val="היסט1"/>
    <w:basedOn w:val="a"/>
    <w:pPr>
      <w:ind w:left="709" w:hanging="709"/>
    </w:pPr>
  </w:style>
  <w:style w:type="paragraph" w:customStyle="1" w:styleId="21">
    <w:name w:val="היסט2"/>
    <w:basedOn w:val="a"/>
    <w:pPr>
      <w:ind w:left="1418" w:hanging="709"/>
    </w:pPr>
  </w:style>
  <w:style w:type="paragraph" w:customStyle="1" w:styleId="30">
    <w:name w:val="היסט3"/>
    <w:basedOn w:val="a"/>
    <w:pPr>
      <w:ind w:left="2836" w:hanging="1418"/>
    </w:pPr>
  </w:style>
  <w:style w:type="paragraph" w:customStyle="1" w:styleId="40">
    <w:name w:val="היסט4"/>
    <w:basedOn w:val="a"/>
    <w:pPr>
      <w:ind w:left="4253" w:hanging="1418"/>
    </w:pPr>
  </w:style>
  <w:style w:type="paragraph" w:customStyle="1" w:styleId="a4">
    <w:name w:val="היסט"/>
    <w:basedOn w:val="a"/>
    <w:pPr>
      <w:ind w:left="709"/>
    </w:pPr>
  </w:style>
  <w:style w:type="paragraph" w:customStyle="1" w:styleId="a5">
    <w:name w:val="היסט_כפול"/>
    <w:basedOn w:val="a"/>
    <w:pPr>
      <w:tabs>
        <w:tab w:val="left" w:pos="709"/>
      </w:tabs>
      <w:ind w:left="1418" w:hanging="1418"/>
    </w:pPr>
  </w:style>
  <w:style w:type="paragraph" w:customStyle="1" w:styleId="12">
    <w:name w:val="היסט_כפול1"/>
    <w:basedOn w:val="a"/>
    <w:pPr>
      <w:tabs>
        <w:tab w:val="left" w:pos="1418"/>
      </w:tabs>
      <w:ind w:left="2126" w:hanging="2126"/>
    </w:pPr>
  </w:style>
  <w:style w:type="paragraph" w:customStyle="1" w:styleId="22">
    <w:name w:val="היסט_כפול2"/>
    <w:basedOn w:val="a"/>
    <w:pPr>
      <w:tabs>
        <w:tab w:val="left" w:pos="1418"/>
      </w:tabs>
      <w:ind w:left="2127" w:hanging="1418"/>
    </w:pPr>
  </w:style>
  <w:style w:type="paragraph" w:styleId="a6">
    <w:name w:val="Quote"/>
    <w:basedOn w:val="a"/>
    <w:pPr>
      <w:ind w:left="709" w:right="709"/>
    </w:pPr>
    <w:rPr>
      <w:bCs/>
    </w:rPr>
  </w:style>
  <w:style w:type="paragraph" w:customStyle="1" w:styleId="23">
    <w:name w:val="ציטוט2"/>
    <w:basedOn w:val="a"/>
    <w:pPr>
      <w:ind w:left="1418" w:right="1418"/>
    </w:pPr>
    <w:rPr>
      <w:bCs/>
    </w:rPr>
  </w:style>
  <w:style w:type="paragraph" w:customStyle="1" w:styleId="NormalE">
    <w:name w:val="NormalE"/>
    <w:basedOn w:val="a"/>
    <w:pPr>
      <w:bidi w:val="0"/>
      <w:jc w:val="right"/>
    </w:pPr>
  </w:style>
  <w:style w:type="paragraph" w:customStyle="1" w:styleId="indent1">
    <w:name w:val="indent1"/>
    <w:basedOn w:val="NormalE"/>
    <w:pPr>
      <w:ind w:right="709" w:hanging="709"/>
    </w:pPr>
  </w:style>
  <w:style w:type="paragraph" w:customStyle="1" w:styleId="indent2">
    <w:name w:val="indent2"/>
    <w:basedOn w:val="NormalE"/>
    <w:pPr>
      <w:ind w:right="1418" w:hanging="709"/>
    </w:pPr>
  </w:style>
  <w:style w:type="paragraph" w:customStyle="1" w:styleId="indent3">
    <w:name w:val="indent3"/>
    <w:basedOn w:val="NormalE"/>
    <w:pPr>
      <w:ind w:right="2836" w:hanging="1418"/>
    </w:pPr>
  </w:style>
  <w:style w:type="paragraph" w:customStyle="1" w:styleId="indent4">
    <w:name w:val="indent4"/>
    <w:basedOn w:val="NormalE"/>
    <w:pPr>
      <w:ind w:right="4253" w:hanging="1418"/>
    </w:pPr>
  </w:style>
  <w:style w:type="paragraph" w:customStyle="1" w:styleId="indent">
    <w:name w:val="indent"/>
    <w:basedOn w:val="NormalE"/>
    <w:pPr>
      <w:ind w:right="709"/>
    </w:pPr>
  </w:style>
  <w:style w:type="paragraph" w:customStyle="1" w:styleId="IndentDouble">
    <w:name w:val="Indent_Double"/>
    <w:basedOn w:val="NormalE"/>
    <w:pPr>
      <w:tabs>
        <w:tab w:val="left" w:pos="709"/>
      </w:tabs>
      <w:ind w:right="1418" w:hanging="1418"/>
    </w:pPr>
  </w:style>
  <w:style w:type="paragraph" w:customStyle="1" w:styleId="IndentDouble1">
    <w:name w:val="Indent_Double1"/>
    <w:basedOn w:val="NormalE"/>
    <w:pPr>
      <w:tabs>
        <w:tab w:val="left" w:pos="1418"/>
      </w:tabs>
      <w:ind w:right="2126" w:hanging="2126"/>
    </w:pPr>
  </w:style>
  <w:style w:type="paragraph" w:customStyle="1" w:styleId="IndentDouble2">
    <w:name w:val="Indent_Double2"/>
    <w:basedOn w:val="NormalE"/>
    <w:pPr>
      <w:tabs>
        <w:tab w:val="left" w:pos="1418"/>
      </w:tabs>
      <w:ind w:right="2127" w:hanging="1418"/>
    </w:pPr>
  </w:style>
  <w:style w:type="paragraph" w:customStyle="1" w:styleId="Quote">
    <w:name w:val="Quote"/>
    <w:basedOn w:val="NormalE"/>
    <w:pPr>
      <w:ind w:left="709" w:right="709"/>
    </w:pPr>
  </w:style>
  <w:style w:type="paragraph" w:customStyle="1" w:styleId="Quote2">
    <w:name w:val="Quote2"/>
    <w:basedOn w:val="NormalE"/>
    <w:pPr>
      <w:ind w:left="1418" w:right="1418"/>
    </w:p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aa">
    <w:name w:val="envelope address"/>
    <w:basedOn w:val="a"/>
    <w:pPr>
      <w:framePr w:w="5040" w:h="1980" w:hRule="exact" w:hSpace="180" w:wrap="auto" w:vAnchor="page" w:hAnchor="page" w:x="4650" w:y="2382"/>
      <w:ind w:right="2880"/>
      <w:jc w:val="left"/>
    </w:pPr>
    <w:rPr>
      <w:sz w:val="24"/>
    </w:rPr>
  </w:style>
  <w:style w:type="paragraph" w:customStyle="1" w:styleId="ab">
    <w:name w:val="מחוץ_לשוליים"/>
    <w:basedOn w:val="a"/>
    <w:pPr>
      <w:framePr w:w="1071" w:h="284" w:hSpace="181" w:wrap="around" w:vAnchor="text" w:hAnchor="page" w:x="10377" w:y="29" w:anchorLock="1"/>
    </w:pPr>
  </w:style>
  <w:style w:type="paragraph" w:customStyle="1" w:styleId="13">
    <w:name w:val="רמה1"/>
    <w:basedOn w:val="a"/>
    <w:pPr>
      <w:keepLines w:val="0"/>
      <w:widowControl w:val="0"/>
      <w:jc w:val="center"/>
    </w:pPr>
    <w:rPr>
      <w:b/>
      <w:bCs/>
      <w:sz w:val="32"/>
      <w:szCs w:val="40"/>
      <w:u w:val="single"/>
    </w:rPr>
  </w:style>
  <w:style w:type="paragraph" w:customStyle="1" w:styleId="24">
    <w:name w:val="רמה2"/>
    <w:basedOn w:val="a"/>
    <w:pPr>
      <w:keepLines w:val="0"/>
      <w:widowControl w:val="0"/>
      <w:jc w:val="center"/>
    </w:pPr>
    <w:rPr>
      <w:rFonts w:ascii="Times New Roman" w:hAnsi="Times New Roman"/>
      <w:b/>
      <w:bCs/>
      <w:sz w:val="28"/>
      <w:szCs w:val="32"/>
      <w:u w:val="single"/>
    </w:rPr>
  </w:style>
  <w:style w:type="paragraph" w:customStyle="1" w:styleId="31">
    <w:name w:val="רמה3"/>
    <w:basedOn w:val="a"/>
    <w:pPr>
      <w:keepLines w:val="0"/>
      <w:widowControl w:val="0"/>
      <w:jc w:val="left"/>
    </w:pPr>
    <w:rPr>
      <w:rFonts w:ascii="Times New Roman" w:hAnsi="Times New Roman"/>
      <w:b/>
      <w:bCs/>
      <w:sz w:val="24"/>
      <w:szCs w:val="28"/>
      <w:u w:val="single"/>
    </w:rPr>
  </w:style>
  <w:style w:type="paragraph" w:customStyle="1" w:styleId="41">
    <w:name w:val="רמה4"/>
    <w:basedOn w:val="a"/>
    <w:pPr>
      <w:keepLines w:val="0"/>
      <w:widowControl w:val="0"/>
      <w:jc w:val="left"/>
    </w:pPr>
    <w:rPr>
      <w:u w:val="single"/>
    </w:rPr>
  </w:style>
  <w:style w:type="paragraph" w:customStyle="1" w:styleId="ac">
    <w:name w:val="ימין"/>
    <w:basedOn w:val="a"/>
    <w:pPr>
      <w:framePr w:w="57" w:h="15388" w:hSpace="181" w:wrap="around" w:vAnchor="page" w:hAnchor="page" w:x="10536" w:y="432"/>
      <w:pBdr>
        <w:left w:val="single" w:sz="6" w:space="1" w:color="auto"/>
      </w:pBdr>
    </w:pPr>
  </w:style>
  <w:style w:type="paragraph" w:styleId="ad">
    <w:name w:val="Block Text"/>
    <w:basedOn w:val="a"/>
    <w:pPr>
      <w:ind w:left="1474"/>
    </w:pPr>
  </w:style>
  <w:style w:type="paragraph" w:styleId="32">
    <w:name w:val="Body Text 3"/>
    <w:basedOn w:val="a"/>
    <w:pPr>
      <w:keepLines w:val="0"/>
      <w:spacing w:before="0" w:after="120"/>
      <w:jc w:val="left"/>
    </w:pPr>
    <w:rPr>
      <w:rFonts w:ascii="Times New Roman" w:hAnsi="Times New Roman"/>
      <w:color w:val="0000FF"/>
      <w:sz w:val="96"/>
      <w:szCs w:val="24"/>
    </w:rPr>
  </w:style>
  <w:style w:type="paragraph" w:customStyle="1" w:styleId="14">
    <w:name w:val="ציטוט1"/>
    <w:basedOn w:val="a"/>
    <w:pPr>
      <w:tabs>
        <w:tab w:val="left" w:pos="703"/>
        <w:tab w:val="left" w:pos="1412"/>
        <w:tab w:val="left" w:pos="2404"/>
        <w:tab w:val="left" w:pos="3680"/>
      </w:tabs>
      <w:ind w:left="1418" w:right="1418"/>
    </w:pPr>
    <w:rPr>
      <w:rFonts w:ascii="Times New Roman" w:hAnsi="Times New Roman"/>
      <w:b/>
      <w:bCs/>
    </w:rPr>
  </w:style>
  <w:style w:type="paragraph" w:styleId="ae">
    <w:name w:val="Balloon Text"/>
    <w:basedOn w:val="a"/>
    <w:semiHidden/>
    <w:rPr>
      <w:rFonts w:ascii="Tahoma" w:hAnsi="Tahoma" w:cs="Tahoma"/>
      <w:sz w:val="16"/>
      <w:szCs w:val="16"/>
    </w:rPr>
  </w:style>
  <w:style w:type="paragraph" w:styleId="NormalWeb">
    <w:name w:val="Normal (Web)"/>
    <w:basedOn w:val="a"/>
    <w:uiPriority w:val="99"/>
    <w:pPr>
      <w:keepLines w:val="0"/>
      <w:bidi w:val="0"/>
      <w:spacing w:before="115" w:after="115"/>
      <w:jc w:val="left"/>
    </w:pPr>
    <w:rPr>
      <w:rFonts w:ascii="Times New Roman" w:hAnsi="Times New Roman" w:cs="Times New Roman"/>
      <w:sz w:val="24"/>
      <w:szCs w:val="24"/>
    </w:rPr>
  </w:style>
  <w:style w:type="table" w:styleId="af">
    <w:name w:val="טבלת רשת"/>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link w:val="1"/>
    <w:rPr>
      <w:rFonts w:ascii="Arial" w:hAnsi="Arial" w:cs="Times New Roman"/>
      <w:sz w:val="24"/>
      <w:szCs w:val="24"/>
      <w:lang w:val="x-none" w:eastAsia="x-none"/>
    </w:rPr>
  </w:style>
  <w:style w:type="paragraph" w:styleId="af0">
    <w:name w:val="List Paragraph"/>
    <w:basedOn w:val="a"/>
    <w:uiPriority w:val="34"/>
    <w:qFormat/>
    <w:pPr>
      <w:keepLines w:val="0"/>
      <w:spacing w:before="0" w:after="120"/>
      <w:ind w:left="720"/>
    </w:pPr>
    <w:rPr>
      <w:rFonts w:ascii="Calibri" w:eastAsia="Calibri" w:hAnsi="Calibri"/>
      <w:sz w:val="26"/>
    </w:rPr>
  </w:style>
  <w:style w:type="character" w:styleId="af1">
    <w:name w:val="footnote reference"/>
    <w:rPr>
      <w:vertAlign w:val="superscript"/>
    </w:rPr>
  </w:style>
  <w:style w:type="paragraph" w:styleId="af2">
    <w:name w:val="footnote text"/>
    <w:basedOn w:val="a"/>
    <w:link w:val="af3"/>
    <w:uiPriority w:val="99"/>
    <w:unhideWhenUsed/>
    <w:pPr>
      <w:keepLines w:val="0"/>
      <w:spacing w:before="0" w:after="120"/>
    </w:pPr>
    <w:rPr>
      <w:rFonts w:ascii="Calibri" w:eastAsia="Calibri" w:hAnsi="Calibri" w:cs="Times New Roman"/>
      <w:szCs w:val="20"/>
      <w:lang w:val="x-none" w:eastAsia="x-none"/>
    </w:rPr>
  </w:style>
  <w:style w:type="character" w:customStyle="1" w:styleId="af3">
    <w:name w:val="טקסט הערת שוליים תו"/>
    <w:link w:val="af2"/>
    <w:uiPriority w:val="99"/>
    <w:rPr>
      <w:rFonts w:ascii="Calibri" w:eastAsia="Calibri" w:hAnsi="Calibri" w:cs="David"/>
    </w:rPr>
  </w:style>
  <w:style w:type="character" w:styleId="af4">
    <w:name w:val="Strong"/>
    <w:uiPriority w:val="22"/>
    <w:qFormat/>
    <w:rPr>
      <w:sz w:val="24"/>
      <w:szCs w:val="24"/>
    </w:rPr>
  </w:style>
  <w:style w:type="character" w:customStyle="1" w:styleId="20">
    <w:name w:val="כותרת 2 תו"/>
    <w:link w:val="2"/>
    <w:rPr>
      <w:rFonts w:ascii="Arial" w:hAnsi="Arial" w:cs="Times New Roman"/>
      <w:sz w:val="24"/>
      <w:szCs w:val="24"/>
      <w:lang w:val="x-none" w:eastAsia="x-none"/>
    </w:rPr>
  </w:style>
  <w:style w:type="character" w:styleId="af5">
    <w:name w:val="Emphasis"/>
    <w:qFormat/>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default">
    <w:name w:val="default"/>
    <w:rPr>
      <w:rFonts w:ascii="Times New Roman" w:hAnsi="Times New Roman" w:cs="Times New Roman" w:hint="default"/>
      <w:sz w:val="26"/>
      <w:szCs w:val="26"/>
    </w:rPr>
  </w:style>
  <w:style w:type="character" w:customStyle="1" w:styleId="big-number">
    <w:name w:val="big-number"/>
    <w:rPr>
      <w:rFonts w:ascii="Times New Roman" w:hAnsi="Times New Roman" w:cs="Times New Roman" w:hint="defaul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5722">
      <w:bodyDiv w:val="1"/>
      <w:marLeft w:val="0"/>
      <w:marRight w:val="0"/>
      <w:marTop w:val="0"/>
      <w:marBottom w:val="0"/>
      <w:divBdr>
        <w:top w:val="none" w:sz="0" w:space="0" w:color="auto"/>
        <w:left w:val="none" w:sz="0" w:space="0" w:color="auto"/>
        <w:bottom w:val="none" w:sz="0" w:space="0" w:color="auto"/>
        <w:right w:val="none" w:sz="0" w:space="0" w:color="auto"/>
      </w:divBdr>
    </w:div>
    <w:div w:id="1000430391">
      <w:bodyDiv w:val="1"/>
      <w:marLeft w:val="0"/>
      <w:marRight w:val="0"/>
      <w:marTop w:val="0"/>
      <w:marBottom w:val="0"/>
      <w:divBdr>
        <w:top w:val="none" w:sz="0" w:space="0" w:color="auto"/>
        <w:left w:val="none" w:sz="0" w:space="0" w:color="auto"/>
        <w:bottom w:val="none" w:sz="0" w:space="0" w:color="auto"/>
        <w:right w:val="none" w:sz="0" w:space="0" w:color="auto"/>
      </w:divBdr>
    </w:div>
    <w:div w:id="1250692728">
      <w:bodyDiv w:val="1"/>
      <w:marLeft w:val="0"/>
      <w:marRight w:val="0"/>
      <w:marTop w:val="0"/>
      <w:marBottom w:val="0"/>
      <w:divBdr>
        <w:top w:val="none" w:sz="0" w:space="0" w:color="auto"/>
        <w:left w:val="none" w:sz="0" w:space="0" w:color="auto"/>
        <w:bottom w:val="none" w:sz="0" w:space="0" w:color="auto"/>
        <w:right w:val="none" w:sz="0" w:space="0" w:color="auto"/>
      </w:divBdr>
      <w:divsChild>
        <w:div w:id="449865440">
          <w:marLeft w:val="0"/>
          <w:marRight w:val="0"/>
          <w:marTop w:val="0"/>
          <w:marBottom w:val="0"/>
          <w:divBdr>
            <w:top w:val="none" w:sz="0" w:space="0" w:color="auto"/>
            <w:left w:val="none" w:sz="0" w:space="0" w:color="auto"/>
            <w:bottom w:val="none" w:sz="0" w:space="0" w:color="auto"/>
            <w:right w:val="none" w:sz="0" w:space="0" w:color="auto"/>
          </w:divBdr>
        </w:div>
      </w:divsChild>
    </w:div>
    <w:div w:id="1261179530">
      <w:bodyDiv w:val="1"/>
      <w:marLeft w:val="0"/>
      <w:marRight w:val="0"/>
      <w:marTop w:val="0"/>
      <w:marBottom w:val="0"/>
      <w:divBdr>
        <w:top w:val="none" w:sz="0" w:space="0" w:color="auto"/>
        <w:left w:val="none" w:sz="0" w:space="0" w:color="auto"/>
        <w:bottom w:val="none" w:sz="0" w:space="0" w:color="auto"/>
        <w:right w:val="none" w:sz="0" w:space="0" w:color="auto"/>
      </w:divBdr>
    </w:div>
    <w:div w:id="1343514717">
      <w:bodyDiv w:val="1"/>
      <w:marLeft w:val="0"/>
      <w:marRight w:val="0"/>
      <w:marTop w:val="0"/>
      <w:marBottom w:val="0"/>
      <w:divBdr>
        <w:top w:val="none" w:sz="0" w:space="0" w:color="auto"/>
        <w:left w:val="none" w:sz="0" w:space="0" w:color="auto"/>
        <w:bottom w:val="none" w:sz="0" w:space="0" w:color="auto"/>
        <w:right w:val="none" w:sz="0" w:space="0" w:color="auto"/>
      </w:divBdr>
      <w:divsChild>
        <w:div w:id="135532751">
          <w:marLeft w:val="0"/>
          <w:marRight w:val="0"/>
          <w:marTop w:val="0"/>
          <w:marBottom w:val="0"/>
          <w:divBdr>
            <w:top w:val="none" w:sz="0" w:space="0" w:color="auto"/>
            <w:left w:val="none" w:sz="0" w:space="0" w:color="auto"/>
            <w:bottom w:val="none" w:sz="0" w:space="0" w:color="auto"/>
            <w:right w:val="none" w:sz="0" w:space="0" w:color="auto"/>
          </w:divBdr>
          <w:divsChild>
            <w:div w:id="1605845574">
              <w:marLeft w:val="0"/>
              <w:marRight w:val="0"/>
              <w:marTop w:val="0"/>
              <w:marBottom w:val="0"/>
              <w:divBdr>
                <w:top w:val="none" w:sz="0" w:space="0" w:color="auto"/>
                <w:left w:val="none" w:sz="0" w:space="0" w:color="auto"/>
                <w:bottom w:val="none" w:sz="0" w:space="0" w:color="auto"/>
                <w:right w:val="none" w:sz="0" w:space="0" w:color="auto"/>
              </w:divBdr>
              <w:divsChild>
                <w:div w:id="1706102127">
                  <w:marLeft w:val="0"/>
                  <w:marRight w:val="0"/>
                  <w:marTop w:val="0"/>
                  <w:marBottom w:val="0"/>
                  <w:divBdr>
                    <w:top w:val="none" w:sz="0" w:space="0" w:color="auto"/>
                    <w:left w:val="none" w:sz="0" w:space="0" w:color="auto"/>
                    <w:bottom w:val="none" w:sz="0" w:space="0" w:color="auto"/>
                    <w:right w:val="none" w:sz="0" w:space="0" w:color="auto"/>
                  </w:divBdr>
                  <w:divsChild>
                    <w:div w:id="171184539">
                      <w:marLeft w:val="0"/>
                      <w:marRight w:val="0"/>
                      <w:marTop w:val="0"/>
                      <w:marBottom w:val="0"/>
                      <w:divBdr>
                        <w:top w:val="none" w:sz="0" w:space="0" w:color="auto"/>
                        <w:left w:val="none" w:sz="0" w:space="0" w:color="auto"/>
                        <w:bottom w:val="none" w:sz="0" w:space="0" w:color="auto"/>
                        <w:right w:val="none" w:sz="0" w:space="0" w:color="auto"/>
                      </w:divBdr>
                      <w:divsChild>
                        <w:div w:id="893855837">
                          <w:marLeft w:val="0"/>
                          <w:marRight w:val="0"/>
                          <w:marTop w:val="0"/>
                          <w:marBottom w:val="0"/>
                          <w:divBdr>
                            <w:top w:val="none" w:sz="0" w:space="0" w:color="auto"/>
                            <w:left w:val="none" w:sz="0" w:space="0" w:color="auto"/>
                            <w:bottom w:val="none" w:sz="0" w:space="0" w:color="auto"/>
                            <w:right w:val="none" w:sz="0" w:space="0" w:color="auto"/>
                          </w:divBdr>
                          <w:divsChild>
                            <w:div w:id="4811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9201">
      <w:bodyDiv w:val="1"/>
      <w:marLeft w:val="0"/>
      <w:marRight w:val="0"/>
      <w:marTop w:val="0"/>
      <w:marBottom w:val="0"/>
      <w:divBdr>
        <w:top w:val="none" w:sz="0" w:space="0" w:color="auto"/>
        <w:left w:val="none" w:sz="0" w:space="0" w:color="auto"/>
        <w:bottom w:val="none" w:sz="0" w:space="0" w:color="auto"/>
        <w:right w:val="none" w:sz="0" w:space="0" w:color="auto"/>
      </w:divBdr>
    </w:div>
    <w:div w:id="1880049511">
      <w:bodyDiv w:val="1"/>
      <w:marLeft w:val="0"/>
      <w:marRight w:val="0"/>
      <w:marTop w:val="0"/>
      <w:marBottom w:val="0"/>
      <w:divBdr>
        <w:top w:val="none" w:sz="0" w:space="0" w:color="auto"/>
        <w:left w:val="none" w:sz="0" w:space="0" w:color="auto"/>
        <w:bottom w:val="none" w:sz="0" w:space="0" w:color="auto"/>
        <w:right w:val="none" w:sz="0" w:space="0" w:color="auto"/>
      </w:divBdr>
    </w:div>
    <w:div w:id="2076849343">
      <w:bodyDiv w:val="1"/>
      <w:marLeft w:val="0"/>
      <w:marRight w:val="0"/>
      <w:marTop w:val="0"/>
      <w:marBottom w:val="0"/>
      <w:divBdr>
        <w:top w:val="none" w:sz="0" w:space="0" w:color="auto"/>
        <w:left w:val="none" w:sz="0" w:space="0" w:color="auto"/>
        <w:bottom w:val="none" w:sz="0" w:space="0" w:color="auto"/>
        <w:right w:val="none" w:sz="0" w:space="0" w:color="auto"/>
      </w:divBdr>
    </w:div>
    <w:div w:id="2117365910">
      <w:bodyDiv w:val="1"/>
      <w:marLeft w:val="0"/>
      <w:marRight w:val="0"/>
      <w:marTop w:val="0"/>
      <w:marBottom w:val="0"/>
      <w:divBdr>
        <w:top w:val="none" w:sz="0" w:space="0" w:color="auto"/>
        <w:left w:val="none" w:sz="0" w:space="0" w:color="auto"/>
        <w:bottom w:val="none" w:sz="0" w:space="0" w:color="auto"/>
        <w:right w:val="none" w:sz="0" w:space="0" w:color="auto"/>
      </w:divBdr>
      <w:divsChild>
        <w:div w:id="179216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LAN_SRV\DATA\&#1514;&#1497;&#1511;&#1497;&#1492;%20&#1512;&#1488;&#1513;&#1497;&#1514;\&#1514;&#1489;&#1504;&#1497;&#1493;&#1514;\H-BEITDIN.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8C70-934F-4B19-9C93-0C06A8FB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H-BEITDIN</Template>
  <TotalTime>1</TotalTime>
  <Pages>7</Pages>
  <Words>1063</Words>
  <Characters>5317</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כתב תביעה</vt:lpstr>
    </vt:vector>
  </TitlesOfParts>
  <Manager>עודד ערמוני, משרד עו"</Manager>
  <Company>עדי בכר</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 תביעה</dc:title>
  <dc:subject>1370/1</dc:subject>
  <dc:creator>G32518-V1</dc:creator>
  <cp:keywords>C:\commitsys\commitdocs\1370\00001\G32518-V001.doc.doc עדי בכר מיכאל רוזנפלד 1370/1 כתב תביעה 32518-V1 G32518-V1</cp:keywords>
  <dc:description>משה_x000d_
עדי בכר_x000d_
כתב תביעה</dc:description>
  <cp:lastModifiedBy>Moshe Vakrat &amp; Co., Law Offices</cp:lastModifiedBy>
  <cp:revision>2</cp:revision>
  <cp:lastPrinted>2013-05-21T15:08:00Z</cp:lastPrinted>
  <dcterms:created xsi:type="dcterms:W3CDTF">2021-09-25T08:24:00Z</dcterms:created>
  <dcterms:modified xsi:type="dcterms:W3CDTF">2021-09-25T08:24:00Z</dcterms:modified>
</cp:coreProperties>
</file>